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2B1" w:rsidRPr="006902B1" w:rsidRDefault="006902B1" w:rsidP="006902B1">
      <w:pPr>
        <w:spacing w:line="360" w:lineRule="auto"/>
        <w:jc w:val="center"/>
        <w:rPr>
          <w:rFonts w:ascii="Verdana" w:hAnsi="Verdana"/>
          <w:b/>
          <w:sz w:val="32"/>
          <w:szCs w:val="32"/>
        </w:rPr>
      </w:pPr>
      <w:r w:rsidRPr="006902B1">
        <w:rPr>
          <w:rFonts w:ascii="Verdana" w:hAnsi="Verdana"/>
          <w:b/>
          <w:sz w:val="32"/>
          <w:szCs w:val="32"/>
        </w:rPr>
        <w:t>Designing educational technology: Getting the mix right between theory and practice</w:t>
      </w:r>
    </w:p>
    <w:p w:rsidR="006902B1" w:rsidRPr="006902B1" w:rsidRDefault="006902B1" w:rsidP="006902B1">
      <w:pPr>
        <w:spacing w:line="360" w:lineRule="auto"/>
        <w:jc w:val="center"/>
        <w:rPr>
          <w:rFonts w:ascii="Verdana" w:hAnsi="Verdana"/>
          <w:b/>
          <w:sz w:val="20"/>
          <w:szCs w:val="20"/>
        </w:rPr>
      </w:pPr>
      <w:r w:rsidRPr="006902B1">
        <w:rPr>
          <w:rFonts w:ascii="Verdana" w:hAnsi="Verdana"/>
          <w:b/>
          <w:sz w:val="20"/>
          <w:szCs w:val="20"/>
        </w:rPr>
        <w:t>By: Scott Bull</w:t>
      </w:r>
    </w:p>
    <w:p w:rsidR="001D279A" w:rsidRPr="00F244DC" w:rsidRDefault="001D279A" w:rsidP="00F13E31">
      <w:pPr>
        <w:spacing w:line="360" w:lineRule="auto"/>
        <w:rPr>
          <w:rFonts w:ascii="Verdana" w:hAnsi="Verdana"/>
          <w:b/>
          <w:sz w:val="20"/>
          <w:szCs w:val="20"/>
        </w:rPr>
      </w:pPr>
      <w:r w:rsidRPr="00F244DC">
        <w:rPr>
          <w:rFonts w:ascii="Verdana" w:hAnsi="Verdana"/>
          <w:b/>
          <w:sz w:val="20"/>
          <w:szCs w:val="20"/>
        </w:rPr>
        <w:t>Introduction</w:t>
      </w:r>
    </w:p>
    <w:p w:rsidR="00513049" w:rsidRPr="00F244DC" w:rsidRDefault="00BB30F9" w:rsidP="00AA4524">
      <w:pPr>
        <w:spacing w:line="360" w:lineRule="auto"/>
        <w:rPr>
          <w:rFonts w:ascii="Verdana" w:hAnsi="Verdana"/>
          <w:sz w:val="20"/>
          <w:szCs w:val="20"/>
        </w:rPr>
      </w:pPr>
      <w:r>
        <w:rPr>
          <w:rFonts w:ascii="Verdana" w:hAnsi="Verdana"/>
          <w:sz w:val="20"/>
          <w:szCs w:val="20"/>
        </w:rPr>
        <w:t xml:space="preserve">Designing effective educational software is not an easy </w:t>
      </w:r>
      <w:r w:rsidR="00356459">
        <w:rPr>
          <w:rFonts w:ascii="Verdana" w:hAnsi="Verdana"/>
          <w:sz w:val="20"/>
          <w:szCs w:val="20"/>
        </w:rPr>
        <w:t>feat when</w:t>
      </w:r>
      <w:r>
        <w:rPr>
          <w:rFonts w:ascii="Verdana" w:hAnsi="Verdana"/>
          <w:sz w:val="20"/>
          <w:szCs w:val="20"/>
        </w:rPr>
        <w:t xml:space="preserve"> taking into </w:t>
      </w:r>
      <w:r w:rsidR="00356459">
        <w:rPr>
          <w:rFonts w:ascii="Verdana" w:hAnsi="Verdana"/>
          <w:sz w:val="20"/>
          <w:szCs w:val="20"/>
        </w:rPr>
        <w:t>consideration</w:t>
      </w:r>
      <w:r>
        <w:rPr>
          <w:rFonts w:ascii="Verdana" w:hAnsi="Verdana"/>
          <w:sz w:val="20"/>
          <w:szCs w:val="20"/>
        </w:rPr>
        <w:t xml:space="preserve"> of the main theories that underpin the educational process, </w:t>
      </w:r>
      <w:r w:rsidR="00AA4524">
        <w:rPr>
          <w:rFonts w:ascii="Verdana" w:hAnsi="Verdana"/>
          <w:sz w:val="20"/>
          <w:szCs w:val="20"/>
        </w:rPr>
        <w:t xml:space="preserve">with </w:t>
      </w:r>
      <w:r>
        <w:rPr>
          <w:rFonts w:ascii="Verdana" w:hAnsi="Verdana"/>
          <w:sz w:val="20"/>
          <w:szCs w:val="20"/>
        </w:rPr>
        <w:t>this paper seeks to explore this process as a medium for reflection</w:t>
      </w:r>
      <w:r w:rsidR="00AA4524">
        <w:rPr>
          <w:rFonts w:ascii="Verdana" w:hAnsi="Verdana"/>
          <w:sz w:val="20"/>
          <w:szCs w:val="20"/>
        </w:rPr>
        <w:t xml:space="preserve"> on game development. </w:t>
      </w:r>
      <w:r w:rsidR="00205B57" w:rsidRPr="00F244DC">
        <w:rPr>
          <w:rFonts w:ascii="Verdana" w:hAnsi="Verdana"/>
          <w:sz w:val="20"/>
          <w:szCs w:val="20"/>
        </w:rPr>
        <w:t xml:space="preserve">This paper consists of three parts, first essential background </w:t>
      </w:r>
      <w:r w:rsidR="00513049" w:rsidRPr="00F244DC">
        <w:rPr>
          <w:rFonts w:ascii="Verdana" w:hAnsi="Verdana"/>
          <w:sz w:val="20"/>
          <w:szCs w:val="20"/>
        </w:rPr>
        <w:t>theories</w:t>
      </w:r>
      <w:r w:rsidR="00205B57" w:rsidRPr="00F244DC">
        <w:rPr>
          <w:rFonts w:ascii="Verdana" w:hAnsi="Verdana"/>
          <w:sz w:val="20"/>
          <w:szCs w:val="20"/>
        </w:rPr>
        <w:t xml:space="preserve"> surrounding learning and mo</w:t>
      </w:r>
      <w:r w:rsidR="00513049" w:rsidRPr="00F244DC">
        <w:rPr>
          <w:rFonts w:ascii="Verdana" w:hAnsi="Verdana"/>
          <w:sz w:val="20"/>
          <w:szCs w:val="20"/>
        </w:rPr>
        <w:t>tivation need to be discussed, also g</w:t>
      </w:r>
      <w:r w:rsidR="00205B57" w:rsidRPr="00F244DC">
        <w:rPr>
          <w:rFonts w:ascii="Verdana" w:hAnsi="Verdana"/>
          <w:sz w:val="20"/>
          <w:szCs w:val="20"/>
        </w:rPr>
        <w:t xml:space="preserve">ames and </w:t>
      </w:r>
      <w:r w:rsidR="00513049" w:rsidRPr="00F244DC">
        <w:rPr>
          <w:rFonts w:ascii="Verdana" w:hAnsi="Verdana"/>
          <w:sz w:val="20"/>
          <w:szCs w:val="20"/>
        </w:rPr>
        <w:t>gamification</w:t>
      </w:r>
      <w:r w:rsidR="00205B57" w:rsidRPr="00F244DC">
        <w:rPr>
          <w:rFonts w:ascii="Verdana" w:hAnsi="Verdana"/>
          <w:sz w:val="20"/>
          <w:szCs w:val="20"/>
        </w:rPr>
        <w:t xml:space="preserve"> need to be defined in order to </w:t>
      </w:r>
      <w:r w:rsidR="00513049" w:rsidRPr="00F244DC">
        <w:rPr>
          <w:rFonts w:ascii="Verdana" w:hAnsi="Verdana"/>
          <w:sz w:val="20"/>
          <w:szCs w:val="20"/>
        </w:rPr>
        <w:t>understand</w:t>
      </w:r>
      <w:r w:rsidR="00205B57" w:rsidRPr="00F244DC">
        <w:rPr>
          <w:rFonts w:ascii="Verdana" w:hAnsi="Verdana"/>
          <w:sz w:val="20"/>
          <w:szCs w:val="20"/>
        </w:rPr>
        <w:t xml:space="preserve"> the approach taken to create an educational software.  </w:t>
      </w:r>
      <w:r w:rsidR="00513049" w:rsidRPr="00F244DC">
        <w:rPr>
          <w:rFonts w:ascii="Verdana" w:hAnsi="Verdana"/>
          <w:sz w:val="20"/>
          <w:szCs w:val="20"/>
        </w:rPr>
        <w:t>The second aspect of this paper outlines a potential design concept for an educational piece of software which aims to increase engagement in both physical education and science, followed with a justification of the main outcomes. The last aspect of this paper involves a critique of the design as a process for reflection on the development process and end product.</w:t>
      </w:r>
    </w:p>
    <w:p w:rsidR="00FA5D1C" w:rsidRPr="00F244DC" w:rsidRDefault="00FA5D1C" w:rsidP="00F13E31">
      <w:pPr>
        <w:spacing w:line="360" w:lineRule="auto"/>
        <w:rPr>
          <w:rFonts w:ascii="Verdana" w:hAnsi="Verdana"/>
          <w:b/>
          <w:sz w:val="20"/>
          <w:szCs w:val="20"/>
        </w:rPr>
      </w:pPr>
      <w:r w:rsidRPr="00F244DC">
        <w:rPr>
          <w:rFonts w:ascii="Verdana" w:hAnsi="Verdana"/>
          <w:b/>
          <w:sz w:val="20"/>
          <w:szCs w:val="20"/>
        </w:rPr>
        <w:t>Educational issue</w:t>
      </w:r>
    </w:p>
    <w:p w:rsidR="00FA5D1C" w:rsidRPr="00F244DC" w:rsidRDefault="00FA5D1C" w:rsidP="006902B1">
      <w:pPr>
        <w:autoSpaceDE w:val="0"/>
        <w:autoSpaceDN w:val="0"/>
        <w:adjustRightInd w:val="0"/>
        <w:spacing w:line="360" w:lineRule="auto"/>
        <w:rPr>
          <w:rFonts w:ascii="Verdana" w:eastAsia="Times New Roman" w:hAnsi="Verdana" w:cs="Times New Roman"/>
          <w:sz w:val="20"/>
          <w:szCs w:val="20"/>
          <w:lang w:eastAsia="zh-CN"/>
        </w:rPr>
      </w:pPr>
      <w:r w:rsidRPr="00F244DC">
        <w:rPr>
          <w:rFonts w:ascii="Verdana" w:hAnsi="Verdana"/>
          <w:sz w:val="20"/>
          <w:szCs w:val="20"/>
        </w:rPr>
        <w:t>The creation of Alchemy! serves to address two key issues plaguing Australian secondary education, disengagement with science as an academic pursuit and falling participation rates in physical activity in physical education classes. First of all disengagement in science has been a significant concern within secondary education for the past decade (</w:t>
      </w:r>
      <w:r w:rsidR="002C39A8">
        <w:rPr>
          <w:rFonts w:ascii="Verdana" w:hAnsi="Verdana"/>
          <w:sz w:val="20"/>
          <w:szCs w:val="20"/>
        </w:rPr>
        <w:t>Buccheri , Gürber &amp; Brühwiler, 2011,</w:t>
      </w:r>
      <w:r w:rsidR="007F7A77" w:rsidRPr="00F244DC">
        <w:rPr>
          <w:rFonts w:ascii="Verdana" w:hAnsi="Verdana"/>
          <w:sz w:val="20"/>
          <w:szCs w:val="20"/>
        </w:rPr>
        <w:t xml:space="preserve"> </w:t>
      </w:r>
      <w:r w:rsidR="002C39A8">
        <w:rPr>
          <w:rFonts w:ascii="Verdana" w:eastAsia="Times New Roman" w:hAnsi="Verdana" w:cs="Times New Roman"/>
          <w:sz w:val="20"/>
          <w:szCs w:val="20"/>
          <w:lang w:eastAsia="zh-CN"/>
        </w:rPr>
        <w:t>Cavanagh 2005</w:t>
      </w:r>
      <w:r w:rsidRPr="00F244DC">
        <w:rPr>
          <w:rFonts w:ascii="Verdana" w:eastAsia="Times New Roman" w:hAnsi="Verdana" w:cs="Times New Roman"/>
          <w:sz w:val="20"/>
          <w:szCs w:val="20"/>
          <w:lang w:eastAsia="zh-CN"/>
        </w:rPr>
        <w:t xml:space="preserve">, </w:t>
      </w:r>
      <w:r w:rsidRPr="00F244DC">
        <w:rPr>
          <w:rFonts w:ascii="Verdana" w:eastAsia="Times New Roman" w:hAnsi="Verdana" w:cs="Arial"/>
          <w:sz w:val="20"/>
          <w:szCs w:val="20"/>
          <w:lang w:eastAsia="zh-CN"/>
        </w:rPr>
        <w:t xml:space="preserve">Cox, </w:t>
      </w:r>
      <w:r w:rsidRPr="00F244DC">
        <w:rPr>
          <w:rFonts w:ascii="Verdana" w:eastAsia="Times New Roman" w:hAnsi="Verdana" w:cs="Times New Roman"/>
          <w:sz w:val="20"/>
          <w:szCs w:val="20"/>
          <w:lang w:eastAsia="zh-CN"/>
        </w:rPr>
        <w:t xml:space="preserve">Leder </w:t>
      </w:r>
      <w:r w:rsidRPr="00F244DC">
        <w:rPr>
          <w:rFonts w:ascii="Verdana" w:eastAsia="Times New Roman" w:hAnsi="Verdana" w:cs="Arial"/>
          <w:sz w:val="20"/>
          <w:szCs w:val="20"/>
          <w:lang w:eastAsia="zh-CN"/>
        </w:rPr>
        <w:t xml:space="preserve">&amp; </w:t>
      </w:r>
      <w:r w:rsidRPr="00F244DC">
        <w:rPr>
          <w:rFonts w:ascii="Verdana" w:eastAsia="Times New Roman" w:hAnsi="Verdana" w:cs="Times New Roman"/>
          <w:sz w:val="20"/>
          <w:szCs w:val="20"/>
          <w:lang w:eastAsia="zh-CN"/>
        </w:rPr>
        <w:t xml:space="preserve">Forgasz </w:t>
      </w:r>
      <w:r w:rsidR="002C39A8">
        <w:rPr>
          <w:rFonts w:ascii="Verdana" w:eastAsia="Times New Roman" w:hAnsi="Verdana" w:cs="Arial"/>
          <w:iCs/>
          <w:sz w:val="20"/>
          <w:szCs w:val="20"/>
          <w:lang w:eastAsia="zh-CN"/>
        </w:rPr>
        <w:t>2004</w:t>
      </w:r>
      <w:r w:rsidRPr="00F244DC">
        <w:rPr>
          <w:rFonts w:ascii="Verdana" w:eastAsia="Times New Roman" w:hAnsi="Verdana" w:cs="Arial"/>
          <w:iCs/>
          <w:sz w:val="20"/>
          <w:szCs w:val="20"/>
          <w:lang w:eastAsia="zh-CN"/>
        </w:rPr>
        <w:t>,</w:t>
      </w:r>
      <w:r w:rsidRPr="00F244DC">
        <w:rPr>
          <w:rFonts w:ascii="Verdana" w:eastAsia="Times New Roman" w:hAnsi="Verdana" w:cs="Times New Roman"/>
          <w:bCs/>
          <w:sz w:val="20"/>
          <w:szCs w:val="20"/>
          <w:lang w:eastAsia="zh-CN"/>
        </w:rPr>
        <w:t xml:space="preserve"> </w:t>
      </w:r>
      <w:r w:rsidR="002C39A8">
        <w:rPr>
          <w:rFonts w:ascii="Verdana" w:eastAsia="Times New Roman" w:hAnsi="Verdana" w:cs="Times New Roman"/>
          <w:iCs/>
          <w:sz w:val="20"/>
          <w:szCs w:val="20"/>
          <w:lang w:eastAsia="zh-CN"/>
        </w:rPr>
        <w:t xml:space="preserve">Craig </w:t>
      </w:r>
      <w:r w:rsidR="002C39A8">
        <w:rPr>
          <w:rFonts w:ascii="Verdana" w:eastAsia="Times New Roman" w:hAnsi="Verdana" w:cs="Arial"/>
          <w:sz w:val="20"/>
          <w:szCs w:val="20"/>
          <w:lang w:eastAsia="zh-CN"/>
        </w:rPr>
        <w:t>2005,</w:t>
      </w:r>
      <w:r w:rsidR="002C39A8">
        <w:rPr>
          <w:rFonts w:ascii="Verdana" w:hAnsi="Verdana"/>
          <w:sz w:val="20"/>
          <w:szCs w:val="20"/>
        </w:rPr>
        <w:t xml:space="preserve"> Hsiao , Chen &amp; Huang, 2012</w:t>
      </w:r>
      <w:r w:rsidR="007F7A77" w:rsidRPr="00F244DC">
        <w:rPr>
          <w:rFonts w:ascii="Verdana" w:hAnsi="Verdana"/>
          <w:sz w:val="20"/>
          <w:szCs w:val="20"/>
        </w:rPr>
        <w:t>)</w:t>
      </w:r>
      <w:r w:rsidR="00F13E31" w:rsidRPr="00F244DC">
        <w:rPr>
          <w:rFonts w:ascii="Verdana" w:eastAsia="Times New Roman" w:hAnsi="Verdana" w:cs="Times New Roman"/>
          <w:sz w:val="20"/>
          <w:szCs w:val="20"/>
          <w:lang w:eastAsia="zh-CN"/>
        </w:rPr>
        <w:t xml:space="preserve"> </w:t>
      </w:r>
      <w:r w:rsidR="005618AA" w:rsidRPr="00F244DC">
        <w:rPr>
          <w:rFonts w:ascii="Verdana" w:hAnsi="Verdana"/>
          <w:bCs/>
          <w:sz w:val="20"/>
          <w:szCs w:val="20"/>
          <w:lang w:val="en-US"/>
        </w:rPr>
        <w:t>Physical activity participation rates drop off in middle adolescence due to students lacking class time self-exploration and meaning</w:t>
      </w:r>
      <w:r w:rsidR="004F0D7B">
        <w:rPr>
          <w:rFonts w:ascii="Verdana" w:hAnsi="Verdana"/>
          <w:bCs/>
          <w:sz w:val="20"/>
          <w:szCs w:val="20"/>
          <w:lang w:val="en-US"/>
        </w:rPr>
        <w:t xml:space="preserve"> making through movement (Brown</w:t>
      </w:r>
      <w:r w:rsidR="005618AA" w:rsidRPr="00F244DC">
        <w:rPr>
          <w:rFonts w:ascii="Verdana" w:hAnsi="Verdana"/>
          <w:bCs/>
          <w:sz w:val="20"/>
          <w:szCs w:val="20"/>
          <w:lang w:val="en-US"/>
        </w:rPr>
        <w:t xml:space="preserve"> 2008</w:t>
      </w:r>
      <w:r w:rsidR="004F0D7B">
        <w:rPr>
          <w:rFonts w:ascii="Verdana" w:hAnsi="Verdana"/>
          <w:bCs/>
          <w:sz w:val="20"/>
          <w:szCs w:val="20"/>
          <w:lang w:val="en-US"/>
        </w:rPr>
        <w:t>,</w:t>
      </w:r>
      <w:r w:rsidR="004F0D7B" w:rsidRPr="004F0D7B">
        <w:t xml:space="preserve"> </w:t>
      </w:r>
      <w:r w:rsidR="004F0D7B" w:rsidRPr="004F0D7B">
        <w:rPr>
          <w:rFonts w:ascii="Verdana" w:hAnsi="Verdana"/>
          <w:bCs/>
          <w:sz w:val="20"/>
          <w:szCs w:val="20"/>
          <w:lang w:val="en-US"/>
        </w:rPr>
        <w:t>Kirk</w:t>
      </w:r>
      <w:r w:rsidR="006902B1">
        <w:rPr>
          <w:rFonts w:ascii="Verdana" w:hAnsi="Verdana"/>
          <w:bCs/>
          <w:sz w:val="20"/>
          <w:szCs w:val="20"/>
          <w:lang w:val="en-US"/>
        </w:rPr>
        <w:t>, 2006</w:t>
      </w:r>
      <w:r w:rsidR="004F0D7B">
        <w:rPr>
          <w:rFonts w:ascii="Verdana" w:hAnsi="Verdana"/>
          <w:bCs/>
          <w:sz w:val="20"/>
          <w:szCs w:val="20"/>
          <w:lang w:val="en-US"/>
        </w:rPr>
        <w:t xml:space="preserve"> &amp;</w:t>
      </w:r>
      <w:r w:rsidR="004F0D7B" w:rsidRPr="004F0D7B">
        <w:rPr>
          <w:rFonts w:ascii="Verdana" w:hAnsi="Verdana"/>
          <w:bCs/>
          <w:sz w:val="20"/>
          <w:szCs w:val="20"/>
          <w:lang w:val="en-US"/>
        </w:rPr>
        <w:t xml:space="preserve"> </w:t>
      </w:r>
      <w:r w:rsidR="004F0D7B" w:rsidRPr="004F0D7B">
        <w:t xml:space="preserve"> </w:t>
      </w:r>
      <w:r w:rsidR="004F0D7B" w:rsidRPr="004F0D7B">
        <w:rPr>
          <w:rFonts w:ascii="Verdana" w:hAnsi="Verdana"/>
          <w:bCs/>
          <w:sz w:val="20"/>
          <w:szCs w:val="20"/>
          <w:lang w:val="en-US"/>
        </w:rPr>
        <w:t>Kinchin</w:t>
      </w:r>
      <w:r w:rsidR="006902B1">
        <w:rPr>
          <w:rFonts w:ascii="Verdana" w:hAnsi="Verdana"/>
          <w:bCs/>
          <w:sz w:val="20"/>
          <w:szCs w:val="20"/>
          <w:lang w:val="en-US"/>
        </w:rPr>
        <w:t>,</w:t>
      </w:r>
      <w:r w:rsidR="004F0D7B">
        <w:rPr>
          <w:rFonts w:ascii="Verdana" w:hAnsi="Verdana"/>
          <w:bCs/>
          <w:sz w:val="20"/>
          <w:szCs w:val="20"/>
          <w:lang w:val="en-US"/>
        </w:rPr>
        <w:t xml:space="preserve"> 2001)</w:t>
      </w:r>
      <w:r w:rsidR="00F13E31" w:rsidRPr="00F244DC">
        <w:rPr>
          <w:rFonts w:ascii="Verdana" w:hAnsi="Verdana"/>
          <w:bCs/>
          <w:sz w:val="20"/>
          <w:szCs w:val="20"/>
          <w:lang w:val="en-US"/>
        </w:rPr>
        <w:t xml:space="preserve"> </w:t>
      </w:r>
    </w:p>
    <w:p w:rsidR="00C62C7C" w:rsidRPr="00F244DC" w:rsidRDefault="00F13E31" w:rsidP="00F13E31">
      <w:pPr>
        <w:spacing w:line="360" w:lineRule="auto"/>
        <w:rPr>
          <w:rFonts w:ascii="Verdana" w:hAnsi="Verdana"/>
          <w:b/>
          <w:sz w:val="20"/>
          <w:szCs w:val="20"/>
        </w:rPr>
      </w:pPr>
      <w:r w:rsidRPr="00F244DC">
        <w:rPr>
          <w:rFonts w:ascii="Verdana" w:hAnsi="Verdana"/>
          <w:b/>
          <w:sz w:val="20"/>
          <w:szCs w:val="20"/>
        </w:rPr>
        <w:t>Learning theories</w:t>
      </w:r>
    </w:p>
    <w:p w:rsidR="004621C2" w:rsidRDefault="0072793B" w:rsidP="00F13E31">
      <w:pPr>
        <w:spacing w:line="360" w:lineRule="auto"/>
        <w:rPr>
          <w:rFonts w:ascii="Verdana" w:hAnsi="Verdana"/>
          <w:sz w:val="20"/>
          <w:szCs w:val="20"/>
        </w:rPr>
      </w:pPr>
      <w:r w:rsidRPr="00F244DC">
        <w:rPr>
          <w:rFonts w:ascii="Verdana" w:hAnsi="Verdana"/>
          <w:sz w:val="20"/>
          <w:szCs w:val="20"/>
        </w:rPr>
        <w:t>Harasim (2012)</w:t>
      </w:r>
      <w:r w:rsidR="00683D72">
        <w:rPr>
          <w:rFonts w:ascii="Verdana" w:hAnsi="Verdana"/>
          <w:sz w:val="20"/>
          <w:szCs w:val="20"/>
        </w:rPr>
        <w:t>,</w:t>
      </w:r>
      <w:r w:rsidR="004621C2" w:rsidRPr="004621C2">
        <w:t xml:space="preserve"> </w:t>
      </w:r>
      <w:r w:rsidR="00683D72">
        <w:rPr>
          <w:rFonts w:ascii="Verdana" w:hAnsi="Verdana"/>
          <w:sz w:val="20"/>
          <w:szCs w:val="20"/>
        </w:rPr>
        <w:t xml:space="preserve">Kapp (2012) and </w:t>
      </w:r>
      <w:r w:rsidR="004621C2" w:rsidRPr="004621C2">
        <w:rPr>
          <w:rFonts w:ascii="Verdana" w:hAnsi="Verdana"/>
          <w:sz w:val="20"/>
          <w:szCs w:val="20"/>
        </w:rPr>
        <w:t xml:space="preserve"> McInerney &amp; McInerney (2010) </w:t>
      </w:r>
      <w:r w:rsidRPr="00F244DC">
        <w:rPr>
          <w:rFonts w:ascii="Verdana" w:hAnsi="Verdana"/>
          <w:sz w:val="20"/>
          <w:szCs w:val="20"/>
        </w:rPr>
        <w:t xml:space="preserve"> suggest that a signif</w:t>
      </w:r>
      <w:r w:rsidR="004C67A8" w:rsidRPr="00F244DC">
        <w:rPr>
          <w:rFonts w:ascii="Verdana" w:hAnsi="Verdana"/>
          <w:sz w:val="20"/>
          <w:szCs w:val="20"/>
        </w:rPr>
        <w:t xml:space="preserve">icant theory in behaviourism is Skinner’s theory of </w:t>
      </w:r>
      <w:r w:rsidRPr="00F244DC">
        <w:rPr>
          <w:rFonts w:ascii="Verdana" w:hAnsi="Verdana"/>
          <w:sz w:val="20"/>
          <w:szCs w:val="20"/>
        </w:rPr>
        <w:t>o</w:t>
      </w:r>
      <w:r w:rsidR="00413B3D" w:rsidRPr="00F244DC">
        <w:rPr>
          <w:rFonts w:ascii="Verdana" w:hAnsi="Verdana"/>
          <w:sz w:val="20"/>
          <w:szCs w:val="20"/>
        </w:rPr>
        <w:t>perant conditioning</w:t>
      </w:r>
      <w:r w:rsidR="004C67A8" w:rsidRPr="00F244DC">
        <w:rPr>
          <w:rFonts w:ascii="Verdana" w:hAnsi="Verdana"/>
          <w:sz w:val="20"/>
          <w:szCs w:val="20"/>
        </w:rPr>
        <w:t>;</w:t>
      </w:r>
      <w:r w:rsidR="00413B3D" w:rsidRPr="00F244DC">
        <w:rPr>
          <w:rFonts w:ascii="Verdana" w:hAnsi="Verdana"/>
          <w:sz w:val="20"/>
          <w:szCs w:val="20"/>
        </w:rPr>
        <w:t xml:space="preserve"> which focuses on voluntary </w:t>
      </w:r>
      <w:r w:rsidR="00C607D3" w:rsidRPr="00F244DC">
        <w:rPr>
          <w:rFonts w:ascii="Verdana" w:hAnsi="Verdana"/>
          <w:sz w:val="20"/>
          <w:szCs w:val="20"/>
        </w:rPr>
        <w:t>behaviours</w:t>
      </w:r>
      <w:r w:rsidR="00413B3D" w:rsidRPr="00F244DC">
        <w:rPr>
          <w:rFonts w:ascii="Verdana" w:hAnsi="Verdana"/>
          <w:sz w:val="20"/>
          <w:szCs w:val="20"/>
        </w:rPr>
        <w:t xml:space="preserve"> rather than involuntary reflexes (See Pavlov’s theory of classical conditioning)</w:t>
      </w:r>
      <w:r w:rsidR="004C67A8" w:rsidRPr="00F244DC">
        <w:rPr>
          <w:rFonts w:ascii="Verdana" w:hAnsi="Verdana"/>
          <w:sz w:val="20"/>
          <w:szCs w:val="20"/>
        </w:rPr>
        <w:t xml:space="preserve"> Harasim (2012) and Kapp (2012) suggest operant conditioning involves an independent animal which manipulates a lever </w:t>
      </w:r>
      <w:r w:rsidR="00F56348" w:rsidRPr="00F244DC">
        <w:rPr>
          <w:rFonts w:ascii="Verdana" w:hAnsi="Verdana"/>
          <w:sz w:val="20"/>
          <w:szCs w:val="20"/>
        </w:rPr>
        <w:t>releasing</w:t>
      </w:r>
      <w:r w:rsidR="004C67A8" w:rsidRPr="00F244DC">
        <w:rPr>
          <w:rFonts w:ascii="Verdana" w:hAnsi="Verdana"/>
          <w:sz w:val="20"/>
          <w:szCs w:val="20"/>
        </w:rPr>
        <w:t xml:space="preserve"> a reward if certain conditions are met</w:t>
      </w:r>
      <w:r w:rsidR="00F56348" w:rsidRPr="00F244DC">
        <w:rPr>
          <w:rFonts w:ascii="Verdana" w:hAnsi="Verdana"/>
          <w:sz w:val="20"/>
          <w:szCs w:val="20"/>
        </w:rPr>
        <w:t xml:space="preserve">; </w:t>
      </w:r>
      <w:r w:rsidR="004C67A8" w:rsidRPr="00F244DC">
        <w:rPr>
          <w:rFonts w:ascii="Verdana" w:hAnsi="Verdana"/>
          <w:sz w:val="20"/>
          <w:szCs w:val="20"/>
        </w:rPr>
        <w:t xml:space="preserve">this construction is most commonly known as “Skinners box”. However this concept can be </w:t>
      </w:r>
      <w:r w:rsidR="00F56348" w:rsidRPr="00F244DC">
        <w:rPr>
          <w:rFonts w:ascii="Verdana" w:hAnsi="Verdana"/>
          <w:sz w:val="20"/>
          <w:szCs w:val="20"/>
        </w:rPr>
        <w:t>extended into the study of gamer behaviour as individuals methodically collect ‘experience points’ to advance their character’s level a game.</w:t>
      </w:r>
      <w:r w:rsidR="004621C2">
        <w:rPr>
          <w:rFonts w:ascii="Verdana" w:hAnsi="Verdana"/>
          <w:sz w:val="20"/>
          <w:szCs w:val="20"/>
        </w:rPr>
        <w:t xml:space="preserve"> </w:t>
      </w:r>
    </w:p>
    <w:p w:rsidR="00E100EE" w:rsidRDefault="004F0D7B" w:rsidP="00E100EE">
      <w:pPr>
        <w:spacing w:line="360" w:lineRule="auto"/>
        <w:rPr>
          <w:rFonts w:ascii="Verdana" w:hAnsi="Verdana"/>
          <w:sz w:val="20"/>
          <w:szCs w:val="20"/>
        </w:rPr>
      </w:pPr>
      <w:r>
        <w:rPr>
          <w:rFonts w:ascii="Verdana" w:hAnsi="Verdana"/>
          <w:sz w:val="20"/>
          <w:szCs w:val="20"/>
        </w:rPr>
        <w:lastRenderedPageBreak/>
        <w:t xml:space="preserve">Another key theory towards motivation is the </w:t>
      </w:r>
      <w:r w:rsidRPr="004F0D7B">
        <w:rPr>
          <w:rFonts w:ascii="Verdana" w:hAnsi="Verdana"/>
          <w:bCs/>
          <w:sz w:val="20"/>
          <w:szCs w:val="20"/>
        </w:rPr>
        <w:t>Socio-cognitive</w:t>
      </w:r>
      <w:r w:rsidRPr="004F0D7B">
        <w:rPr>
          <w:rFonts w:ascii="Verdana" w:hAnsi="Verdana"/>
          <w:bCs/>
          <w:sz w:val="20"/>
          <w:szCs w:val="20"/>
        </w:rPr>
        <w:t xml:space="preserve"> view</w:t>
      </w:r>
      <w:r>
        <w:rPr>
          <w:rFonts w:ascii="Verdana" w:hAnsi="Verdana"/>
          <w:bCs/>
          <w:sz w:val="20"/>
          <w:szCs w:val="20"/>
        </w:rPr>
        <w:t>,</w:t>
      </w:r>
      <w:r>
        <w:rPr>
          <w:rFonts w:ascii="Verdana" w:hAnsi="Verdana"/>
          <w:sz w:val="20"/>
          <w:szCs w:val="20"/>
        </w:rPr>
        <w:t xml:space="preserve"> </w:t>
      </w:r>
      <w:r w:rsidR="004621C2">
        <w:rPr>
          <w:rFonts w:ascii="Verdana" w:hAnsi="Verdana"/>
          <w:sz w:val="20"/>
          <w:szCs w:val="20"/>
        </w:rPr>
        <w:t>Harasim (2012</w:t>
      </w:r>
      <w:r w:rsidR="00356459">
        <w:rPr>
          <w:rFonts w:ascii="Verdana" w:hAnsi="Verdana"/>
          <w:sz w:val="20"/>
          <w:szCs w:val="20"/>
        </w:rPr>
        <w:t xml:space="preserve">) </w:t>
      </w:r>
      <w:r w:rsidR="00356459" w:rsidRPr="00F244DC">
        <w:rPr>
          <w:rFonts w:ascii="Verdana" w:hAnsi="Verdana"/>
          <w:sz w:val="20"/>
          <w:szCs w:val="20"/>
        </w:rPr>
        <w:t>and</w:t>
      </w:r>
      <w:r w:rsidR="004621C2">
        <w:rPr>
          <w:rFonts w:ascii="Verdana" w:hAnsi="Verdana"/>
          <w:sz w:val="20"/>
          <w:szCs w:val="20"/>
        </w:rPr>
        <w:t xml:space="preserve"> </w:t>
      </w:r>
      <w:r w:rsidR="00F244DC">
        <w:rPr>
          <w:rFonts w:ascii="Verdana" w:hAnsi="Verdana"/>
          <w:sz w:val="20"/>
          <w:szCs w:val="20"/>
        </w:rPr>
        <w:t>McInerney &amp;</w:t>
      </w:r>
      <w:r w:rsidR="00F244DC" w:rsidRPr="00F244DC">
        <w:t xml:space="preserve"> </w:t>
      </w:r>
      <w:r w:rsidR="00F244DC" w:rsidRPr="00F244DC">
        <w:rPr>
          <w:rFonts w:ascii="Verdana" w:hAnsi="Verdana"/>
          <w:sz w:val="20"/>
          <w:szCs w:val="20"/>
        </w:rPr>
        <w:t>McInerney</w:t>
      </w:r>
      <w:r w:rsidR="00F244DC">
        <w:rPr>
          <w:rFonts w:ascii="Verdana" w:hAnsi="Verdana"/>
          <w:sz w:val="20"/>
          <w:szCs w:val="20"/>
        </w:rPr>
        <w:t xml:space="preserve"> (2010) suggest that the s</w:t>
      </w:r>
      <w:r w:rsidR="00F244DC" w:rsidRPr="00F244DC">
        <w:rPr>
          <w:rFonts w:ascii="Verdana" w:hAnsi="Verdana"/>
          <w:sz w:val="20"/>
          <w:szCs w:val="20"/>
        </w:rPr>
        <w:t>ocio-cognitive view</w:t>
      </w:r>
      <w:r w:rsidR="00F244DC">
        <w:rPr>
          <w:rFonts w:ascii="Verdana" w:hAnsi="Verdana"/>
          <w:sz w:val="20"/>
          <w:szCs w:val="20"/>
        </w:rPr>
        <w:t xml:space="preserve"> </w:t>
      </w:r>
      <w:r w:rsidR="00C62C7C" w:rsidRPr="00F244DC">
        <w:rPr>
          <w:rFonts w:ascii="Verdana" w:hAnsi="Verdana"/>
          <w:sz w:val="20"/>
          <w:szCs w:val="20"/>
        </w:rPr>
        <w:t xml:space="preserve">focuses on intrinsic motivation or the internal drive to learn via the student observing and imitating the actions of role models. This is heavily reliant on the interests of the learner, which can be classified into two categories, situational and personal. </w:t>
      </w:r>
      <w:r w:rsidR="00C62C7C" w:rsidRPr="00F244DC">
        <w:rPr>
          <w:rFonts w:ascii="Verdana" w:hAnsi="Verdana"/>
          <w:i/>
          <w:sz w:val="20"/>
          <w:szCs w:val="20"/>
        </w:rPr>
        <w:t>Situational interest</w:t>
      </w:r>
      <w:r w:rsidR="00C62C7C" w:rsidRPr="00F244DC">
        <w:rPr>
          <w:rFonts w:ascii="Verdana" w:hAnsi="Verdana"/>
          <w:sz w:val="20"/>
          <w:szCs w:val="20"/>
        </w:rPr>
        <w:t xml:space="preserve"> which is commonly short term relies on the methods the educator conveys the intended message. An example of this showing a documentary on the destruction of the environment and shaping a progression of lessons to support this, which may ‘plant the seed’ to develop into a personal interest.  </w:t>
      </w:r>
      <w:r w:rsidR="00C62C7C" w:rsidRPr="00F244DC">
        <w:rPr>
          <w:rFonts w:ascii="Verdana" w:hAnsi="Verdana"/>
          <w:i/>
          <w:sz w:val="20"/>
          <w:szCs w:val="20"/>
        </w:rPr>
        <w:t>Personal interest</w:t>
      </w:r>
      <w:r w:rsidR="00C62C7C" w:rsidRPr="00F244DC">
        <w:rPr>
          <w:rFonts w:ascii="Verdana" w:hAnsi="Verdana"/>
          <w:sz w:val="20"/>
          <w:szCs w:val="20"/>
        </w:rPr>
        <w:t xml:space="preserve"> can be viewed as a long term desire to understand an idea or topic that is maintained by an internal motivator. Personal interests are vastly influenced by experiences that have occurred earlier in life, such as cultural practices, emotions associated with the activity and how relevant the activities are to our goals in life.  </w:t>
      </w:r>
      <w:r>
        <w:rPr>
          <w:rFonts w:ascii="Verdana" w:hAnsi="Verdana"/>
          <w:sz w:val="20"/>
          <w:szCs w:val="20"/>
        </w:rPr>
        <w:t xml:space="preserve">However motivations are not enough </w:t>
      </w:r>
      <w:r w:rsidR="00E100EE">
        <w:rPr>
          <w:rFonts w:ascii="Verdana" w:hAnsi="Verdana"/>
          <w:sz w:val="20"/>
          <w:szCs w:val="20"/>
        </w:rPr>
        <w:t xml:space="preserve">to constitute learning experiences, </w:t>
      </w:r>
      <w:r w:rsidR="00356459">
        <w:rPr>
          <w:rFonts w:ascii="Verdana" w:hAnsi="Verdana"/>
          <w:sz w:val="20"/>
          <w:szCs w:val="20"/>
        </w:rPr>
        <w:t>especially</w:t>
      </w:r>
      <w:r w:rsidR="00E100EE">
        <w:rPr>
          <w:rFonts w:ascii="Verdana" w:hAnsi="Verdana"/>
          <w:sz w:val="20"/>
          <w:szCs w:val="20"/>
        </w:rPr>
        <w:t xml:space="preserve"> when students are learning through experience.</w:t>
      </w:r>
      <w:r w:rsidR="00C62C7C" w:rsidRPr="00F244DC">
        <w:rPr>
          <w:rFonts w:ascii="Verdana" w:hAnsi="Verdana"/>
          <w:sz w:val="20"/>
          <w:szCs w:val="20"/>
        </w:rPr>
        <w:t xml:space="preserve">  </w:t>
      </w:r>
    </w:p>
    <w:p w:rsidR="00DB6BAB" w:rsidRPr="00F244DC" w:rsidRDefault="00DB6BAB" w:rsidP="00E100EE">
      <w:pPr>
        <w:spacing w:line="360" w:lineRule="auto"/>
        <w:rPr>
          <w:rFonts w:ascii="Verdana" w:hAnsi="Verdana"/>
          <w:sz w:val="20"/>
          <w:szCs w:val="20"/>
        </w:rPr>
      </w:pPr>
      <w:r w:rsidRPr="00F244DC">
        <w:rPr>
          <w:rFonts w:ascii="Verdana" w:hAnsi="Verdana"/>
          <w:sz w:val="20"/>
          <w:szCs w:val="20"/>
        </w:rPr>
        <w:t xml:space="preserve">Kolb (1984) proposes that experiential learning has 6 characteristics; learning is best conceived as a process, not in terms of outcomes, learning is a continuous process grounded in experience, learning requires the resolution of conflicts between dialectically opposed modes of adaptation to the world (learning is by its very nature full of tension), learning is a holistic process of adaptation to the world, learning involves transactions between the person and the environment, learning is the process of creating knowledge that is the result of the transaction between social knowledge and personal knowledge. This view on the process of education underpins the core model in experiential learning, that </w:t>
      </w:r>
      <w:r w:rsidR="003A2A10" w:rsidRPr="00F244DC">
        <w:rPr>
          <w:rFonts w:ascii="Verdana" w:hAnsi="Verdana"/>
          <w:sz w:val="20"/>
          <w:szCs w:val="20"/>
        </w:rPr>
        <w:t>being Kolb’s (</w:t>
      </w:r>
      <w:r w:rsidRPr="00F244DC">
        <w:rPr>
          <w:rFonts w:ascii="Verdana" w:hAnsi="Verdana"/>
          <w:sz w:val="20"/>
          <w:szCs w:val="20"/>
        </w:rPr>
        <w:t xml:space="preserve">1984) Model of Experiential Education; </w:t>
      </w:r>
    </w:p>
    <w:p w:rsidR="006C6C17" w:rsidRPr="00F244DC" w:rsidRDefault="006C6C17" w:rsidP="00F13E31">
      <w:pPr>
        <w:spacing w:line="360" w:lineRule="auto"/>
        <w:rPr>
          <w:rFonts w:ascii="Verdana" w:hAnsi="Verdana"/>
          <w:sz w:val="20"/>
          <w:szCs w:val="20"/>
        </w:rPr>
      </w:pPr>
      <w:r w:rsidRPr="00F244DC">
        <w:rPr>
          <w:rFonts w:ascii="Verdana" w:hAnsi="Verdana"/>
          <w:noProof/>
          <w:sz w:val="20"/>
          <w:szCs w:val="20"/>
          <w:lang w:eastAsia="zh-CN"/>
        </w:rPr>
        <w:drawing>
          <wp:inline distT="0" distB="0" distL="0" distR="0" wp14:anchorId="44348D6A" wp14:editId="2F21F4D3">
            <wp:extent cx="6305550" cy="320040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C809B7" w:rsidRPr="007413BC" w:rsidRDefault="00C809B7" w:rsidP="007413BC">
      <w:pPr>
        <w:autoSpaceDE w:val="0"/>
        <w:autoSpaceDN w:val="0"/>
        <w:adjustRightInd w:val="0"/>
        <w:spacing w:after="0" w:line="360" w:lineRule="auto"/>
        <w:rPr>
          <w:rFonts w:ascii="Verdana" w:hAnsi="Verdana" w:cs="AdvTT5843c571"/>
          <w:sz w:val="20"/>
          <w:szCs w:val="20"/>
        </w:rPr>
      </w:pPr>
      <w:r w:rsidRPr="007413BC">
        <w:rPr>
          <w:rFonts w:ascii="Verdana" w:hAnsi="Verdana" w:cs="AdvTT5843c571"/>
          <w:sz w:val="20"/>
          <w:szCs w:val="20"/>
        </w:rPr>
        <w:lastRenderedPageBreak/>
        <w:t xml:space="preserve">Kiili (2005) adapts Kolb’s (1975) experiential learning model to </w:t>
      </w:r>
      <w:r w:rsidR="00356459" w:rsidRPr="007413BC">
        <w:rPr>
          <w:rFonts w:ascii="Verdana" w:hAnsi="Verdana" w:cs="AdvTT5843c571"/>
          <w:sz w:val="20"/>
          <w:szCs w:val="20"/>
        </w:rPr>
        <w:t>create the</w:t>
      </w:r>
      <w:r w:rsidRPr="007413BC">
        <w:rPr>
          <w:rFonts w:ascii="Verdana" w:hAnsi="Verdana" w:cs="AdvTT5843c571"/>
          <w:sz w:val="20"/>
          <w:szCs w:val="20"/>
        </w:rPr>
        <w:t xml:space="preserve"> experiential gaming model</w:t>
      </w:r>
      <w:r w:rsidRPr="007413BC">
        <w:rPr>
          <w:rFonts w:ascii="Verdana" w:hAnsi="Verdana" w:cs="AdvTT5843c571"/>
          <w:sz w:val="20"/>
          <w:szCs w:val="20"/>
        </w:rPr>
        <w:t xml:space="preserve">, </w:t>
      </w:r>
      <w:r w:rsidR="00356459" w:rsidRPr="007413BC">
        <w:rPr>
          <w:rFonts w:ascii="Verdana" w:hAnsi="Verdana" w:cs="AdvTT5843c571"/>
          <w:sz w:val="20"/>
          <w:szCs w:val="20"/>
        </w:rPr>
        <w:t>which consists</w:t>
      </w:r>
      <w:r w:rsidRPr="007413BC">
        <w:rPr>
          <w:rFonts w:ascii="Verdana" w:hAnsi="Verdana" w:cs="AdvTT5843c571"/>
          <w:sz w:val="20"/>
          <w:szCs w:val="20"/>
        </w:rPr>
        <w:t xml:space="preserve"> of an </w:t>
      </w:r>
      <w:r w:rsidR="007413BC" w:rsidRPr="007413BC">
        <w:rPr>
          <w:rFonts w:ascii="Verdana" w:hAnsi="Verdana" w:cs="AdvTT5843c571"/>
          <w:sz w:val="20"/>
          <w:szCs w:val="20"/>
        </w:rPr>
        <w:t>‘</w:t>
      </w:r>
      <w:r w:rsidRPr="007413BC">
        <w:rPr>
          <w:rFonts w:ascii="Verdana" w:hAnsi="Verdana" w:cs="AdvTT5843c571"/>
          <w:sz w:val="20"/>
          <w:szCs w:val="20"/>
        </w:rPr>
        <w:t>ideation</w:t>
      </w:r>
      <w:r w:rsidR="007413BC" w:rsidRPr="007413BC">
        <w:rPr>
          <w:rFonts w:ascii="Verdana" w:hAnsi="Verdana" w:cs="AdvTT5843c571"/>
          <w:sz w:val="20"/>
          <w:szCs w:val="20"/>
        </w:rPr>
        <w:t>’</w:t>
      </w:r>
      <w:r w:rsidRPr="007413BC">
        <w:rPr>
          <w:rFonts w:ascii="Verdana" w:hAnsi="Verdana" w:cs="AdvTT5843c571"/>
          <w:sz w:val="20"/>
          <w:szCs w:val="20"/>
        </w:rPr>
        <w:t xml:space="preserve"> loop</w:t>
      </w:r>
      <w:r w:rsidRPr="007413BC">
        <w:rPr>
          <w:rFonts w:ascii="Verdana" w:hAnsi="Verdana" w:cs="AdvTT5843c571"/>
          <w:sz w:val="20"/>
          <w:szCs w:val="20"/>
        </w:rPr>
        <w:t xml:space="preserve"> (an expanded</w:t>
      </w:r>
      <w:r w:rsidR="007413BC" w:rsidRPr="007413BC">
        <w:rPr>
          <w:rFonts w:ascii="Verdana" w:hAnsi="Verdana" w:cs="AdvTT5843c571"/>
          <w:sz w:val="20"/>
          <w:szCs w:val="20"/>
        </w:rPr>
        <w:t xml:space="preserve"> conceptualization stage</w:t>
      </w:r>
      <w:r w:rsidR="00356459" w:rsidRPr="007413BC">
        <w:rPr>
          <w:rFonts w:ascii="Verdana" w:hAnsi="Verdana" w:cs="AdvTT5843c571"/>
          <w:sz w:val="20"/>
          <w:szCs w:val="20"/>
        </w:rPr>
        <w:t>) and</w:t>
      </w:r>
      <w:r w:rsidR="007413BC" w:rsidRPr="007413BC">
        <w:rPr>
          <w:rFonts w:ascii="Verdana" w:hAnsi="Verdana" w:cs="AdvTT5843c571"/>
          <w:sz w:val="20"/>
          <w:szCs w:val="20"/>
        </w:rPr>
        <w:t xml:space="preserve"> </w:t>
      </w:r>
      <w:r w:rsidRPr="007413BC">
        <w:rPr>
          <w:rFonts w:ascii="Verdana" w:hAnsi="Verdana" w:cs="AdvTT5843c571"/>
          <w:sz w:val="20"/>
          <w:szCs w:val="20"/>
        </w:rPr>
        <w:t>an experience loop</w:t>
      </w:r>
      <w:r w:rsidRPr="007413BC">
        <w:rPr>
          <w:rFonts w:ascii="Verdana" w:hAnsi="Verdana" w:cs="AdvTT5843c571"/>
          <w:sz w:val="20"/>
          <w:szCs w:val="20"/>
        </w:rPr>
        <w:t xml:space="preserve"> (simular to Kolb’s model)</w:t>
      </w:r>
      <w:r w:rsidR="007413BC" w:rsidRPr="007413BC">
        <w:rPr>
          <w:rFonts w:ascii="Verdana" w:hAnsi="Verdana" w:cs="AdvTT5843c571"/>
          <w:sz w:val="20"/>
          <w:szCs w:val="20"/>
        </w:rPr>
        <w:t xml:space="preserve">. Killi (2005) also suggests that the </w:t>
      </w:r>
      <w:r w:rsidRPr="007413BC">
        <w:rPr>
          <w:rFonts w:ascii="Verdana" w:hAnsi="Verdana" w:cs="AdvTT5843c571"/>
          <w:sz w:val="20"/>
          <w:szCs w:val="20"/>
        </w:rPr>
        <w:t xml:space="preserve"> </w:t>
      </w:r>
      <w:r w:rsidR="007413BC" w:rsidRPr="007413BC">
        <w:rPr>
          <w:rFonts w:ascii="Verdana" w:hAnsi="Verdana" w:cs="AdvTT5843c571"/>
          <w:sz w:val="20"/>
          <w:szCs w:val="20"/>
        </w:rPr>
        <w:t xml:space="preserve">experiential gaming model operates like the human circulatory system, with the heart (Challenges) ‘pumping’ problems through the player to sustain motivation and engagement which prompts the generation of solutions through the ‘ideation’ loop and skill development through the experiential loop. </w:t>
      </w:r>
    </w:p>
    <w:p w:rsidR="00C809B7" w:rsidRDefault="00C809B7" w:rsidP="00F13E31">
      <w:pPr>
        <w:spacing w:line="360" w:lineRule="auto"/>
        <w:jc w:val="both"/>
        <w:rPr>
          <w:rFonts w:ascii="Verdana" w:hAnsi="Verdana"/>
          <w:sz w:val="20"/>
          <w:szCs w:val="20"/>
        </w:rPr>
      </w:pPr>
      <w:r>
        <w:rPr>
          <w:rFonts w:ascii="Verdana" w:hAnsi="Verdana"/>
          <w:noProof/>
          <w:sz w:val="20"/>
          <w:szCs w:val="20"/>
          <w:lang w:eastAsia="zh-CN"/>
        </w:rPr>
        <w:drawing>
          <wp:inline distT="0" distB="0" distL="0" distR="0">
            <wp:extent cx="5731510" cy="466877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668774"/>
                    </a:xfrm>
                    <a:prstGeom prst="rect">
                      <a:avLst/>
                    </a:prstGeom>
                    <a:noFill/>
                    <a:ln>
                      <a:noFill/>
                    </a:ln>
                  </pic:spPr>
                </pic:pic>
              </a:graphicData>
            </a:graphic>
          </wp:inline>
        </w:drawing>
      </w:r>
    </w:p>
    <w:p w:rsidR="00FA5D1C" w:rsidRPr="00F244DC" w:rsidRDefault="00E100EE" w:rsidP="00E100EE">
      <w:pPr>
        <w:spacing w:line="360" w:lineRule="auto"/>
        <w:jc w:val="both"/>
        <w:rPr>
          <w:rFonts w:ascii="Verdana" w:hAnsi="Verdana"/>
          <w:sz w:val="20"/>
          <w:szCs w:val="20"/>
        </w:rPr>
      </w:pPr>
      <w:r>
        <w:rPr>
          <w:rFonts w:ascii="Verdana" w:hAnsi="Verdana"/>
          <w:sz w:val="20"/>
          <w:szCs w:val="20"/>
        </w:rPr>
        <w:t xml:space="preserve">It is still not enough to merely </w:t>
      </w:r>
      <w:r w:rsidR="00356459">
        <w:rPr>
          <w:rFonts w:ascii="Verdana" w:hAnsi="Verdana"/>
          <w:sz w:val="20"/>
          <w:szCs w:val="20"/>
        </w:rPr>
        <w:t>consider</w:t>
      </w:r>
      <w:r>
        <w:rPr>
          <w:rFonts w:ascii="Verdana" w:hAnsi="Verdana"/>
          <w:sz w:val="20"/>
          <w:szCs w:val="20"/>
        </w:rPr>
        <w:t xml:space="preserve"> what motivates individuals and how the experiences should be structured to promote learning, the debate of if knowledge is better acquired or learnt needs to be focused on; </w:t>
      </w:r>
      <w:r w:rsidR="004621C2" w:rsidRPr="00F244DC">
        <w:rPr>
          <w:rFonts w:ascii="Verdana" w:hAnsi="Verdana"/>
          <w:sz w:val="20"/>
          <w:szCs w:val="20"/>
        </w:rPr>
        <w:t>Gee (1991)</w:t>
      </w:r>
      <w:r w:rsidR="004621C2">
        <w:rPr>
          <w:rFonts w:ascii="Verdana" w:hAnsi="Verdana"/>
          <w:sz w:val="20"/>
          <w:szCs w:val="20"/>
        </w:rPr>
        <w:t xml:space="preserve"> discusses</w:t>
      </w:r>
      <w:r w:rsidR="004621C2" w:rsidRPr="00F244DC">
        <w:rPr>
          <w:rFonts w:ascii="Verdana" w:hAnsi="Verdana"/>
          <w:sz w:val="20"/>
          <w:szCs w:val="20"/>
        </w:rPr>
        <w:t xml:space="preserve"> </w:t>
      </w:r>
      <w:r w:rsidR="004621C2">
        <w:rPr>
          <w:rFonts w:ascii="Verdana" w:hAnsi="Verdana"/>
          <w:sz w:val="20"/>
          <w:szCs w:val="20"/>
        </w:rPr>
        <w:t xml:space="preserve">the difference between </w:t>
      </w:r>
      <w:r w:rsidR="00FA5D1C" w:rsidRPr="00F244DC">
        <w:rPr>
          <w:rFonts w:ascii="Verdana" w:hAnsi="Verdana"/>
          <w:sz w:val="20"/>
          <w:szCs w:val="20"/>
        </w:rPr>
        <w:t>acquisition and learning</w:t>
      </w:r>
      <w:r w:rsidR="004621C2">
        <w:rPr>
          <w:rFonts w:ascii="Verdana" w:hAnsi="Verdana"/>
          <w:sz w:val="20"/>
          <w:szCs w:val="20"/>
        </w:rPr>
        <w:t>,</w:t>
      </w:r>
      <w:r w:rsidR="00FA5D1C" w:rsidRPr="00F244DC">
        <w:rPr>
          <w:rFonts w:ascii="Verdana" w:hAnsi="Verdana"/>
          <w:sz w:val="20"/>
          <w:szCs w:val="20"/>
        </w:rPr>
        <w:t xml:space="preserve"> which are often used interchangeably</w:t>
      </w:r>
      <w:r w:rsidR="004621C2">
        <w:rPr>
          <w:rFonts w:ascii="Verdana" w:hAnsi="Verdana"/>
          <w:sz w:val="20"/>
          <w:szCs w:val="20"/>
        </w:rPr>
        <w:t>;</w:t>
      </w:r>
    </w:p>
    <w:p w:rsidR="00FA5D1C" w:rsidRPr="00F244DC" w:rsidRDefault="00FA5D1C" w:rsidP="00F13E31">
      <w:pPr>
        <w:numPr>
          <w:ilvl w:val="0"/>
          <w:numId w:val="2"/>
        </w:numPr>
        <w:spacing w:line="360" w:lineRule="auto"/>
        <w:jc w:val="both"/>
        <w:rPr>
          <w:rFonts w:ascii="Verdana" w:hAnsi="Verdana"/>
          <w:sz w:val="20"/>
          <w:szCs w:val="20"/>
        </w:rPr>
      </w:pPr>
      <w:r w:rsidRPr="00F244DC">
        <w:rPr>
          <w:rFonts w:ascii="Verdana" w:hAnsi="Verdana"/>
          <w:sz w:val="20"/>
          <w:szCs w:val="20"/>
        </w:rPr>
        <w:t xml:space="preserve">Acquisition ‘is a process of trial and error... it happens in natural settings which are meaningful and functional in the sense that the acquirers know they need to acquire something in order to function and they want to so function </w:t>
      </w:r>
    </w:p>
    <w:p w:rsidR="00FA5D1C" w:rsidRPr="00F244DC" w:rsidRDefault="00FA5D1C" w:rsidP="00F13E31">
      <w:pPr>
        <w:numPr>
          <w:ilvl w:val="0"/>
          <w:numId w:val="2"/>
        </w:numPr>
        <w:spacing w:line="360" w:lineRule="auto"/>
        <w:jc w:val="both"/>
        <w:rPr>
          <w:rFonts w:ascii="Verdana" w:hAnsi="Verdana"/>
          <w:sz w:val="20"/>
          <w:szCs w:val="20"/>
        </w:rPr>
      </w:pPr>
      <w:r w:rsidRPr="00F244DC">
        <w:rPr>
          <w:rFonts w:ascii="Verdana" w:hAnsi="Verdana"/>
          <w:sz w:val="20"/>
          <w:szCs w:val="20"/>
        </w:rPr>
        <w:lastRenderedPageBreak/>
        <w:t>Learning ‘is a process which...involves explanation and analysis, breaking down the thing to be learned in analytical parts, it involves attaining along with the mater being taught, some degree of meta-knowledge about the matter</w:t>
      </w:r>
    </w:p>
    <w:p w:rsidR="004621C2" w:rsidRPr="004621C2" w:rsidRDefault="00E100EE" w:rsidP="00E100EE">
      <w:pPr>
        <w:spacing w:line="360" w:lineRule="auto"/>
        <w:rPr>
          <w:rFonts w:ascii="Verdana" w:hAnsi="Verdana"/>
          <w:sz w:val="20"/>
          <w:szCs w:val="20"/>
        </w:rPr>
      </w:pPr>
      <w:r>
        <w:rPr>
          <w:rFonts w:ascii="Verdana" w:hAnsi="Verdana"/>
          <w:sz w:val="20"/>
          <w:szCs w:val="20"/>
        </w:rPr>
        <w:t xml:space="preserve">This highlights the complex nature of learning theories and the development of knowledge in educational constructs, so in </w:t>
      </w:r>
      <w:r w:rsidR="004621C2" w:rsidRPr="004621C2">
        <w:rPr>
          <w:rFonts w:ascii="Verdana" w:hAnsi="Verdana"/>
          <w:sz w:val="20"/>
          <w:szCs w:val="20"/>
        </w:rPr>
        <w:t>summary</w:t>
      </w:r>
      <w:r w:rsidR="004621C2">
        <w:rPr>
          <w:rFonts w:ascii="Verdana" w:hAnsi="Verdana"/>
          <w:sz w:val="20"/>
          <w:szCs w:val="20"/>
        </w:rPr>
        <w:t xml:space="preserve"> games need both external rewards (operant conditioning) and internal rewards (s</w:t>
      </w:r>
      <w:r w:rsidR="004621C2" w:rsidRPr="004621C2">
        <w:rPr>
          <w:rFonts w:ascii="Verdana" w:hAnsi="Verdana"/>
          <w:sz w:val="20"/>
          <w:szCs w:val="20"/>
        </w:rPr>
        <w:t>ocio-cognitive view</w:t>
      </w:r>
      <w:r w:rsidR="004621C2">
        <w:rPr>
          <w:rFonts w:ascii="Verdana" w:hAnsi="Verdana"/>
          <w:sz w:val="20"/>
          <w:szCs w:val="20"/>
        </w:rPr>
        <w:t>), a system in which students grow and develop their experiences (experiential learning</w:t>
      </w:r>
      <w:r w:rsidR="007413BC">
        <w:rPr>
          <w:rFonts w:ascii="Verdana" w:hAnsi="Verdana"/>
          <w:sz w:val="20"/>
          <w:szCs w:val="20"/>
        </w:rPr>
        <w:t xml:space="preserve"> and</w:t>
      </w:r>
      <w:r w:rsidR="007413BC" w:rsidRPr="007413BC">
        <w:t xml:space="preserve"> </w:t>
      </w:r>
      <w:r w:rsidR="007413BC" w:rsidRPr="007413BC">
        <w:rPr>
          <w:rFonts w:ascii="Verdana" w:hAnsi="Verdana"/>
          <w:sz w:val="20"/>
          <w:szCs w:val="20"/>
        </w:rPr>
        <w:t>experiential gaming model</w:t>
      </w:r>
      <w:r w:rsidR="004621C2">
        <w:rPr>
          <w:rFonts w:ascii="Verdana" w:hAnsi="Verdana"/>
          <w:sz w:val="20"/>
          <w:szCs w:val="20"/>
        </w:rPr>
        <w:t xml:space="preserve">) and developing knowledge (acquisition </w:t>
      </w:r>
      <w:r w:rsidR="00356459">
        <w:rPr>
          <w:rFonts w:ascii="Verdana" w:hAnsi="Verdana"/>
          <w:sz w:val="20"/>
          <w:szCs w:val="20"/>
        </w:rPr>
        <w:t>vs.</w:t>
      </w:r>
      <w:r w:rsidR="004621C2">
        <w:rPr>
          <w:rFonts w:ascii="Verdana" w:hAnsi="Verdana"/>
          <w:sz w:val="20"/>
          <w:szCs w:val="20"/>
        </w:rPr>
        <w:t xml:space="preserve"> learning)</w:t>
      </w:r>
      <w:r w:rsidR="007413BC">
        <w:rPr>
          <w:rFonts w:ascii="Verdana" w:hAnsi="Verdana"/>
          <w:sz w:val="20"/>
          <w:szCs w:val="20"/>
        </w:rPr>
        <w:t xml:space="preserve"> in order to be effective.</w:t>
      </w:r>
    </w:p>
    <w:p w:rsidR="003333E5" w:rsidRPr="00F244DC" w:rsidRDefault="003333E5" w:rsidP="00F13E31">
      <w:pPr>
        <w:spacing w:line="360" w:lineRule="auto"/>
        <w:rPr>
          <w:rFonts w:ascii="Verdana" w:hAnsi="Verdana"/>
          <w:b/>
          <w:sz w:val="20"/>
          <w:szCs w:val="20"/>
        </w:rPr>
      </w:pPr>
      <w:r w:rsidRPr="00F244DC">
        <w:rPr>
          <w:rFonts w:ascii="Verdana" w:hAnsi="Verdana"/>
          <w:b/>
          <w:sz w:val="20"/>
          <w:szCs w:val="20"/>
        </w:rPr>
        <w:t>Defining Games</w:t>
      </w:r>
    </w:p>
    <w:p w:rsidR="00537CA3" w:rsidRPr="00F244DC" w:rsidRDefault="003333E5" w:rsidP="00F13E31">
      <w:pPr>
        <w:spacing w:line="360" w:lineRule="auto"/>
        <w:rPr>
          <w:rFonts w:ascii="Verdana" w:hAnsi="Verdana"/>
          <w:sz w:val="20"/>
          <w:szCs w:val="20"/>
        </w:rPr>
      </w:pPr>
      <w:r w:rsidRPr="00F244DC">
        <w:rPr>
          <w:rFonts w:ascii="Verdana" w:hAnsi="Verdana"/>
          <w:sz w:val="20"/>
          <w:szCs w:val="20"/>
        </w:rPr>
        <w:t xml:space="preserve">Kapp (2012) </w:t>
      </w:r>
      <w:r w:rsidR="00EA098B" w:rsidRPr="00F244DC">
        <w:rPr>
          <w:rFonts w:ascii="Verdana" w:hAnsi="Verdana"/>
          <w:sz w:val="20"/>
          <w:szCs w:val="20"/>
        </w:rPr>
        <w:t xml:space="preserve">eventually suggesting that the elements of system, players, abstract, challenge, rules, quantifiable outcomes, interactivity, emotional </w:t>
      </w:r>
      <w:r w:rsidR="00A41A75" w:rsidRPr="00F244DC">
        <w:rPr>
          <w:rFonts w:ascii="Verdana" w:hAnsi="Verdana"/>
          <w:sz w:val="20"/>
          <w:szCs w:val="20"/>
        </w:rPr>
        <w:t>reaction and</w:t>
      </w:r>
      <w:r w:rsidR="00EA098B" w:rsidRPr="00F244DC">
        <w:rPr>
          <w:rFonts w:ascii="Verdana" w:hAnsi="Verdana"/>
          <w:sz w:val="20"/>
          <w:szCs w:val="20"/>
        </w:rPr>
        <w:t xml:space="preserve"> feedback converge to “make an event larger than the individual elements” (pp.9). </w:t>
      </w:r>
      <w:r w:rsidR="00DC76D2" w:rsidRPr="00F244DC">
        <w:rPr>
          <w:rFonts w:ascii="Verdana" w:hAnsi="Verdana"/>
          <w:sz w:val="20"/>
          <w:szCs w:val="20"/>
        </w:rPr>
        <w:t xml:space="preserve"> </w:t>
      </w:r>
      <w:r w:rsidR="00EA305D" w:rsidRPr="00F244DC">
        <w:rPr>
          <w:rFonts w:ascii="Verdana" w:hAnsi="Verdana"/>
          <w:sz w:val="20"/>
          <w:szCs w:val="20"/>
        </w:rPr>
        <w:t xml:space="preserve">Juul (2005) takes a different stance on defining games by suggesting “A game is a rule-based system with a variable and quantifiable outcome, where different outcomes are </w:t>
      </w:r>
      <w:r w:rsidR="00A41A75" w:rsidRPr="00F244DC">
        <w:rPr>
          <w:rFonts w:ascii="Verdana" w:hAnsi="Verdana"/>
          <w:sz w:val="20"/>
          <w:szCs w:val="20"/>
        </w:rPr>
        <w:t>assigned</w:t>
      </w:r>
      <w:r w:rsidR="00EA305D" w:rsidRPr="00F244DC">
        <w:rPr>
          <w:rFonts w:ascii="Verdana" w:hAnsi="Verdana"/>
          <w:sz w:val="20"/>
          <w:szCs w:val="20"/>
        </w:rPr>
        <w:t xml:space="preserve"> different values</w:t>
      </w:r>
      <w:r w:rsidR="00327068" w:rsidRPr="00F244DC">
        <w:rPr>
          <w:rFonts w:ascii="Verdana" w:hAnsi="Verdana"/>
          <w:sz w:val="20"/>
          <w:szCs w:val="20"/>
        </w:rPr>
        <w:t xml:space="preserve">, the player exerts effort in order to influence the outcome, the player feels emotionally attached to the outcome and the </w:t>
      </w:r>
      <w:r w:rsidR="00A41A75" w:rsidRPr="00F244DC">
        <w:rPr>
          <w:rFonts w:ascii="Verdana" w:hAnsi="Verdana"/>
          <w:sz w:val="20"/>
          <w:szCs w:val="20"/>
        </w:rPr>
        <w:t>consequences</w:t>
      </w:r>
      <w:r w:rsidR="00327068" w:rsidRPr="00F244DC">
        <w:rPr>
          <w:rFonts w:ascii="Verdana" w:hAnsi="Verdana"/>
          <w:sz w:val="20"/>
          <w:szCs w:val="20"/>
        </w:rPr>
        <w:t xml:space="preserve"> of the activity are negotiable” (pp.36). </w:t>
      </w:r>
      <w:r w:rsidR="00E5303F" w:rsidRPr="00F244DC">
        <w:rPr>
          <w:rFonts w:ascii="Verdana" w:hAnsi="Verdana"/>
          <w:sz w:val="20"/>
          <w:szCs w:val="20"/>
        </w:rPr>
        <w:t xml:space="preserve">Gee (2009) </w:t>
      </w:r>
      <w:r w:rsidR="00DB0A14" w:rsidRPr="00F244DC">
        <w:rPr>
          <w:rFonts w:ascii="Verdana" w:hAnsi="Verdana"/>
          <w:sz w:val="20"/>
          <w:szCs w:val="20"/>
        </w:rPr>
        <w:t>argues good digital games consist of</w:t>
      </w:r>
      <w:r w:rsidR="00251D0E" w:rsidRPr="00F244DC">
        <w:rPr>
          <w:rFonts w:ascii="Verdana" w:hAnsi="Verdana"/>
          <w:sz w:val="20"/>
          <w:szCs w:val="20"/>
        </w:rPr>
        <w:t xml:space="preserve"> six key properties, </w:t>
      </w:r>
      <w:r w:rsidR="00E5303F" w:rsidRPr="00F244DC">
        <w:rPr>
          <w:rFonts w:ascii="Verdana" w:hAnsi="Verdana"/>
          <w:sz w:val="20"/>
          <w:szCs w:val="20"/>
        </w:rPr>
        <w:t xml:space="preserve">an underlying rule system and game goal to </w:t>
      </w:r>
      <w:r w:rsidR="00DB0A14" w:rsidRPr="00F244DC">
        <w:rPr>
          <w:rFonts w:ascii="Verdana" w:hAnsi="Verdana"/>
          <w:sz w:val="20"/>
          <w:szCs w:val="20"/>
        </w:rPr>
        <w:t xml:space="preserve">which the player is emotionally </w:t>
      </w:r>
      <w:r w:rsidR="00E5303F" w:rsidRPr="00F244DC">
        <w:rPr>
          <w:rFonts w:ascii="Verdana" w:hAnsi="Verdana"/>
          <w:sz w:val="20"/>
          <w:szCs w:val="20"/>
        </w:rPr>
        <w:t>attached</w:t>
      </w:r>
      <w:r w:rsidR="00DB0A14" w:rsidRPr="00F244DC">
        <w:rPr>
          <w:rFonts w:ascii="Verdana" w:hAnsi="Verdana"/>
          <w:sz w:val="20"/>
          <w:szCs w:val="20"/>
        </w:rPr>
        <w:t xml:space="preserve">, </w:t>
      </w:r>
      <w:r w:rsidR="00E5303F" w:rsidRPr="00F244DC">
        <w:rPr>
          <w:rFonts w:ascii="Verdana" w:hAnsi="Verdana"/>
          <w:sz w:val="20"/>
          <w:szCs w:val="20"/>
        </w:rPr>
        <w:t>micro-control that creates a se</w:t>
      </w:r>
      <w:r w:rsidR="00DB0A14" w:rsidRPr="00F244DC">
        <w:rPr>
          <w:rFonts w:ascii="Verdana" w:hAnsi="Verdana"/>
          <w:sz w:val="20"/>
          <w:szCs w:val="20"/>
        </w:rPr>
        <w:t xml:space="preserve">nse of intimacy and </w:t>
      </w:r>
      <w:r w:rsidR="00E5303F" w:rsidRPr="00F244DC">
        <w:rPr>
          <w:rFonts w:ascii="Verdana" w:hAnsi="Verdana"/>
          <w:sz w:val="20"/>
          <w:szCs w:val="20"/>
        </w:rPr>
        <w:t>power</w:t>
      </w:r>
      <w:r w:rsidR="00DB0A14" w:rsidRPr="00F244DC">
        <w:rPr>
          <w:rFonts w:ascii="Verdana" w:hAnsi="Verdana"/>
          <w:sz w:val="20"/>
          <w:szCs w:val="20"/>
        </w:rPr>
        <w:t xml:space="preserve">, </w:t>
      </w:r>
      <w:r w:rsidR="00E5303F" w:rsidRPr="00F244DC">
        <w:rPr>
          <w:rFonts w:ascii="Verdana" w:hAnsi="Verdana"/>
          <w:sz w:val="20"/>
          <w:szCs w:val="20"/>
        </w:rPr>
        <w:t>experiences that offer good learning opp</w:t>
      </w:r>
      <w:r w:rsidRPr="00F244DC">
        <w:rPr>
          <w:rFonts w:ascii="Verdana" w:hAnsi="Verdana"/>
          <w:sz w:val="20"/>
          <w:szCs w:val="20"/>
        </w:rPr>
        <w:t xml:space="preserve">ortunities; </w:t>
      </w:r>
      <w:r w:rsidR="00DB0A14" w:rsidRPr="00F244DC">
        <w:rPr>
          <w:rFonts w:ascii="Verdana" w:hAnsi="Verdana"/>
          <w:sz w:val="20"/>
          <w:szCs w:val="20"/>
        </w:rPr>
        <w:t xml:space="preserve">a match between </w:t>
      </w:r>
      <w:r w:rsidR="00E5303F" w:rsidRPr="00F244DC">
        <w:rPr>
          <w:rFonts w:ascii="Verdana" w:hAnsi="Verdana"/>
          <w:sz w:val="20"/>
          <w:szCs w:val="20"/>
        </w:rPr>
        <w:t xml:space="preserve">affordance and </w:t>
      </w:r>
      <w:r w:rsidR="00A41A75" w:rsidRPr="00F244DC">
        <w:rPr>
          <w:rFonts w:ascii="Verdana" w:hAnsi="Verdana"/>
          <w:sz w:val="20"/>
          <w:szCs w:val="20"/>
        </w:rPr>
        <w:t>affectivity, modelling</w:t>
      </w:r>
      <w:r w:rsidR="00E5303F" w:rsidRPr="00F244DC">
        <w:rPr>
          <w:rFonts w:ascii="Verdana" w:hAnsi="Verdana"/>
          <w:sz w:val="20"/>
          <w:szCs w:val="20"/>
        </w:rPr>
        <w:t xml:space="preserve"> t</w:t>
      </w:r>
      <w:r w:rsidR="00DB0A14" w:rsidRPr="00F244DC">
        <w:rPr>
          <w:rFonts w:ascii="Verdana" w:hAnsi="Verdana"/>
          <w:sz w:val="20"/>
          <w:szCs w:val="20"/>
        </w:rPr>
        <w:t xml:space="preserve">o make learning from experience </w:t>
      </w:r>
      <w:r w:rsidR="00E5303F" w:rsidRPr="00F244DC">
        <w:rPr>
          <w:rFonts w:ascii="Verdana" w:hAnsi="Verdana"/>
          <w:sz w:val="20"/>
          <w:szCs w:val="20"/>
        </w:rPr>
        <w:t>more general and abstract, and encouragemen</w:t>
      </w:r>
      <w:r w:rsidR="00DB0A14" w:rsidRPr="00F244DC">
        <w:rPr>
          <w:rFonts w:ascii="Verdana" w:hAnsi="Verdana"/>
          <w:sz w:val="20"/>
          <w:szCs w:val="20"/>
        </w:rPr>
        <w:t xml:space="preserve">t to players to enact their own </w:t>
      </w:r>
      <w:r w:rsidR="00E5303F" w:rsidRPr="00F244DC">
        <w:rPr>
          <w:rFonts w:ascii="Verdana" w:hAnsi="Verdana"/>
          <w:sz w:val="20"/>
          <w:szCs w:val="20"/>
        </w:rPr>
        <w:t>unique trajectory through the game (p. 78).</w:t>
      </w:r>
    </w:p>
    <w:p w:rsidR="00EA098B" w:rsidRPr="00F244DC" w:rsidRDefault="00537CA3" w:rsidP="007413BC">
      <w:pPr>
        <w:spacing w:line="360" w:lineRule="auto"/>
        <w:rPr>
          <w:rFonts w:ascii="Verdana" w:hAnsi="Verdana"/>
          <w:sz w:val="20"/>
          <w:szCs w:val="20"/>
        </w:rPr>
      </w:pPr>
      <w:r w:rsidRPr="00F244DC">
        <w:rPr>
          <w:rFonts w:ascii="Verdana" w:hAnsi="Verdana"/>
          <w:sz w:val="20"/>
          <w:szCs w:val="20"/>
        </w:rPr>
        <w:t xml:space="preserve">Drawing these </w:t>
      </w:r>
      <w:r w:rsidR="0002321F" w:rsidRPr="00F244DC">
        <w:rPr>
          <w:rFonts w:ascii="Verdana" w:hAnsi="Verdana"/>
          <w:sz w:val="20"/>
          <w:szCs w:val="20"/>
        </w:rPr>
        <w:t>four</w:t>
      </w:r>
      <w:r w:rsidRPr="00F244DC">
        <w:rPr>
          <w:rFonts w:ascii="Verdana" w:hAnsi="Verdana"/>
          <w:sz w:val="20"/>
          <w:szCs w:val="20"/>
        </w:rPr>
        <w:t xml:space="preserve"> differing views on what constitutes a game</w:t>
      </w:r>
      <w:r w:rsidR="000216DF" w:rsidRPr="00F244DC">
        <w:rPr>
          <w:rFonts w:ascii="Verdana" w:hAnsi="Verdana"/>
          <w:sz w:val="20"/>
          <w:szCs w:val="20"/>
        </w:rPr>
        <w:t xml:space="preserve"> suggest</w:t>
      </w:r>
      <w:r w:rsidR="0002321F" w:rsidRPr="00F244DC">
        <w:rPr>
          <w:rFonts w:ascii="Verdana" w:hAnsi="Verdana"/>
          <w:sz w:val="20"/>
          <w:szCs w:val="20"/>
        </w:rPr>
        <w:t>s</w:t>
      </w:r>
      <w:r w:rsidR="000216DF" w:rsidRPr="00F244DC">
        <w:rPr>
          <w:rFonts w:ascii="Verdana" w:hAnsi="Verdana"/>
          <w:sz w:val="20"/>
          <w:szCs w:val="20"/>
        </w:rPr>
        <w:t xml:space="preserve"> that ‘a game is a system of rules, rules which mediate interactive and abstract environments by</w:t>
      </w:r>
      <w:r w:rsidR="00E159DB" w:rsidRPr="00F244DC">
        <w:rPr>
          <w:rFonts w:ascii="Verdana" w:hAnsi="Verdana"/>
          <w:sz w:val="20"/>
          <w:szCs w:val="20"/>
        </w:rPr>
        <w:t xml:space="preserve"> </w:t>
      </w:r>
      <w:r w:rsidR="00A41A75" w:rsidRPr="00F244DC">
        <w:rPr>
          <w:rFonts w:ascii="Verdana" w:hAnsi="Verdana"/>
          <w:sz w:val="20"/>
          <w:szCs w:val="20"/>
        </w:rPr>
        <w:t>issuing</w:t>
      </w:r>
      <w:r w:rsidR="00E159DB" w:rsidRPr="00F244DC">
        <w:rPr>
          <w:rFonts w:ascii="Verdana" w:hAnsi="Verdana"/>
          <w:sz w:val="20"/>
          <w:szCs w:val="20"/>
        </w:rPr>
        <w:t xml:space="preserve"> challenges, </w:t>
      </w:r>
      <w:r w:rsidR="000216DF" w:rsidRPr="00F244DC">
        <w:rPr>
          <w:rFonts w:ascii="Verdana" w:hAnsi="Verdana"/>
          <w:sz w:val="20"/>
          <w:szCs w:val="20"/>
        </w:rPr>
        <w:t>prompting emotional reactions from the players as they work towards a quantifiable outcome. This outcome can only be achieved through scaffolding and on demand feedback loops</w:t>
      </w:r>
      <w:r w:rsidR="00EA098B" w:rsidRPr="00F244DC">
        <w:rPr>
          <w:rFonts w:ascii="Verdana" w:hAnsi="Verdana"/>
          <w:sz w:val="20"/>
          <w:szCs w:val="20"/>
        </w:rPr>
        <w:t xml:space="preserve"> which are freely entered and experiential in nature.</w:t>
      </w:r>
      <w:r w:rsidR="007B02E3" w:rsidRPr="00F244DC">
        <w:rPr>
          <w:rFonts w:ascii="Verdana" w:hAnsi="Verdana"/>
          <w:sz w:val="20"/>
          <w:szCs w:val="20"/>
        </w:rPr>
        <w:t xml:space="preserve"> This definition may seek to classify games, </w:t>
      </w:r>
      <w:r w:rsidR="007413BC">
        <w:rPr>
          <w:rFonts w:ascii="Verdana" w:hAnsi="Verdana"/>
          <w:sz w:val="20"/>
          <w:szCs w:val="20"/>
        </w:rPr>
        <w:t xml:space="preserve">but it falls short of detailing what is meant by games as a system and </w:t>
      </w:r>
      <w:r w:rsidR="004F0D7B">
        <w:rPr>
          <w:rFonts w:ascii="Verdana" w:hAnsi="Verdana"/>
          <w:sz w:val="20"/>
          <w:szCs w:val="20"/>
        </w:rPr>
        <w:t>the influence and importance of challenge in learning.</w:t>
      </w:r>
    </w:p>
    <w:p w:rsidR="00B6506B" w:rsidRPr="00F244DC" w:rsidRDefault="007B02E3" w:rsidP="00F13E31">
      <w:pPr>
        <w:spacing w:line="360" w:lineRule="auto"/>
        <w:rPr>
          <w:rFonts w:ascii="Verdana" w:hAnsi="Verdana"/>
          <w:sz w:val="20"/>
          <w:szCs w:val="20"/>
        </w:rPr>
      </w:pPr>
      <w:r w:rsidRPr="00F244DC">
        <w:rPr>
          <w:rFonts w:ascii="Verdana" w:hAnsi="Verdana"/>
          <w:sz w:val="20"/>
          <w:szCs w:val="20"/>
        </w:rPr>
        <w:t>Salen &amp; Zimmerman (2004) suggest that systems are   “A set  of things that affect each other within an environment to form a larger pattern which is different from any of the individual parts” (pp51), Kapp</w:t>
      </w:r>
      <w:r w:rsidR="002C39A8">
        <w:rPr>
          <w:rFonts w:ascii="Verdana" w:hAnsi="Verdana"/>
          <w:sz w:val="20"/>
          <w:szCs w:val="20"/>
        </w:rPr>
        <w:t xml:space="preserve"> </w:t>
      </w:r>
      <w:r w:rsidRPr="00F244DC">
        <w:rPr>
          <w:rFonts w:ascii="Verdana" w:hAnsi="Verdana"/>
          <w:sz w:val="20"/>
          <w:szCs w:val="20"/>
        </w:rPr>
        <w:t>(2012) aims to progress this idea further, suggesting that a system is “a set of interconnected elements occur within t</w:t>
      </w:r>
      <w:r w:rsidR="00C85795" w:rsidRPr="00F244DC">
        <w:rPr>
          <w:rFonts w:ascii="Verdana" w:hAnsi="Verdana"/>
          <w:sz w:val="20"/>
          <w:szCs w:val="20"/>
        </w:rPr>
        <w:t xml:space="preserve">he “space” of the game”(pp.7), </w:t>
      </w:r>
      <w:r w:rsidR="008C761D" w:rsidRPr="00F244DC">
        <w:rPr>
          <w:rFonts w:ascii="Verdana" w:hAnsi="Verdana"/>
          <w:sz w:val="20"/>
          <w:szCs w:val="20"/>
        </w:rPr>
        <w:t xml:space="preserve">Challenge is an essential aspect of any game, as players need to be </w:t>
      </w:r>
      <w:r w:rsidR="008C761D" w:rsidRPr="00F244DC">
        <w:rPr>
          <w:rFonts w:ascii="Verdana" w:hAnsi="Verdana"/>
          <w:sz w:val="20"/>
          <w:szCs w:val="20"/>
        </w:rPr>
        <w:lastRenderedPageBreak/>
        <w:t>motivated in order to engage within the frame of the game. However the degree of challenge posed must be</w:t>
      </w:r>
      <w:r w:rsidR="00D454DF" w:rsidRPr="00F244DC">
        <w:rPr>
          <w:rFonts w:ascii="Verdana" w:hAnsi="Verdana"/>
          <w:sz w:val="20"/>
          <w:szCs w:val="20"/>
        </w:rPr>
        <w:t xml:space="preserve"> progressive as the participant gains skill or the individual may enter a state of boredom or anxiety, this process forms what</w:t>
      </w:r>
      <w:r w:rsidR="008C761D" w:rsidRPr="00F244DC">
        <w:rPr>
          <w:rFonts w:ascii="Verdana" w:hAnsi="Verdana"/>
          <w:sz w:val="20"/>
          <w:szCs w:val="20"/>
        </w:rPr>
        <w:t xml:space="preserve"> </w:t>
      </w:r>
      <w:r w:rsidR="00D454DF" w:rsidRPr="00F244DC">
        <w:rPr>
          <w:rFonts w:ascii="Verdana" w:hAnsi="Verdana"/>
          <w:sz w:val="20"/>
          <w:szCs w:val="20"/>
        </w:rPr>
        <w:t>Arnold (1979)</w:t>
      </w:r>
      <w:r w:rsidR="00E4176C" w:rsidRPr="00F244DC">
        <w:rPr>
          <w:rFonts w:ascii="Verdana" w:hAnsi="Verdana"/>
          <w:sz w:val="20"/>
          <w:szCs w:val="20"/>
        </w:rPr>
        <w:t xml:space="preserve"> argues as </w:t>
      </w:r>
      <w:r w:rsidR="00C809B7">
        <w:rPr>
          <w:rFonts w:ascii="Verdana" w:hAnsi="Verdana"/>
          <w:sz w:val="20"/>
          <w:szCs w:val="20"/>
        </w:rPr>
        <w:t>“</w:t>
      </w:r>
      <w:r w:rsidR="00E4176C" w:rsidRPr="00F244DC">
        <w:rPr>
          <w:rFonts w:ascii="Verdana" w:hAnsi="Verdana"/>
          <w:sz w:val="20"/>
          <w:szCs w:val="20"/>
        </w:rPr>
        <w:t>peak experiences</w:t>
      </w:r>
      <w:r w:rsidR="00C809B7">
        <w:rPr>
          <w:rFonts w:ascii="Verdana" w:hAnsi="Verdana"/>
          <w:sz w:val="20"/>
          <w:szCs w:val="20"/>
        </w:rPr>
        <w:t>”</w:t>
      </w:r>
      <w:r w:rsidR="00D454DF" w:rsidRPr="00F244DC">
        <w:rPr>
          <w:rFonts w:ascii="Verdana" w:hAnsi="Verdana"/>
          <w:sz w:val="20"/>
          <w:szCs w:val="20"/>
        </w:rPr>
        <w:t xml:space="preserve"> and Csikszentmihalyi (1975)</w:t>
      </w:r>
      <w:r w:rsidR="00683D72">
        <w:rPr>
          <w:rFonts w:ascii="Verdana" w:hAnsi="Verdana"/>
          <w:sz w:val="20"/>
          <w:szCs w:val="20"/>
        </w:rPr>
        <w:t xml:space="preserve"> and Kapp (2012)</w:t>
      </w:r>
      <w:r w:rsidR="00D454DF" w:rsidRPr="00F244DC">
        <w:rPr>
          <w:rFonts w:ascii="Verdana" w:hAnsi="Verdana"/>
          <w:sz w:val="20"/>
          <w:szCs w:val="20"/>
        </w:rPr>
        <w:t xml:space="preserve"> claim</w:t>
      </w:r>
      <w:r w:rsidR="00E4176C" w:rsidRPr="00F244DC">
        <w:rPr>
          <w:rFonts w:ascii="Verdana" w:hAnsi="Verdana"/>
          <w:sz w:val="20"/>
          <w:szCs w:val="20"/>
        </w:rPr>
        <w:t>s</w:t>
      </w:r>
      <w:r w:rsidR="00D454DF" w:rsidRPr="00F244DC">
        <w:rPr>
          <w:rFonts w:ascii="Verdana" w:hAnsi="Verdana"/>
          <w:sz w:val="20"/>
          <w:szCs w:val="20"/>
        </w:rPr>
        <w:t xml:space="preserve"> as the </w:t>
      </w:r>
      <w:r w:rsidR="00C809B7">
        <w:rPr>
          <w:rFonts w:ascii="Verdana" w:hAnsi="Verdana"/>
          <w:sz w:val="20"/>
          <w:szCs w:val="20"/>
        </w:rPr>
        <w:t>“</w:t>
      </w:r>
      <w:r w:rsidR="00D454DF" w:rsidRPr="00F244DC">
        <w:rPr>
          <w:rFonts w:ascii="Verdana" w:hAnsi="Verdana"/>
          <w:sz w:val="20"/>
          <w:szCs w:val="20"/>
        </w:rPr>
        <w:t>flow continuum</w:t>
      </w:r>
      <w:r w:rsidR="00C809B7">
        <w:rPr>
          <w:rFonts w:ascii="Verdana" w:hAnsi="Verdana"/>
          <w:sz w:val="20"/>
          <w:szCs w:val="20"/>
        </w:rPr>
        <w:t>”</w:t>
      </w:r>
      <w:r w:rsidR="00D454DF" w:rsidRPr="00F244DC">
        <w:rPr>
          <w:rFonts w:ascii="Verdana" w:hAnsi="Verdana"/>
          <w:sz w:val="20"/>
          <w:szCs w:val="20"/>
        </w:rPr>
        <w:t xml:space="preserve">. </w:t>
      </w:r>
    </w:p>
    <w:p w:rsidR="00B6506B" w:rsidRPr="00F244DC" w:rsidRDefault="00B6506B" w:rsidP="00F13E31">
      <w:pPr>
        <w:spacing w:line="360" w:lineRule="auto"/>
        <w:rPr>
          <w:rFonts w:ascii="Verdana" w:hAnsi="Verdana"/>
          <w:b/>
          <w:sz w:val="20"/>
          <w:szCs w:val="20"/>
        </w:rPr>
      </w:pPr>
      <w:r w:rsidRPr="00F244DC">
        <w:rPr>
          <w:rFonts w:ascii="Verdana" w:hAnsi="Verdana"/>
          <w:b/>
          <w:sz w:val="20"/>
          <w:szCs w:val="20"/>
        </w:rPr>
        <w:t xml:space="preserve">The Flow continuum </w:t>
      </w:r>
      <w:r w:rsidR="00E4176C" w:rsidRPr="00F244DC">
        <w:rPr>
          <w:rFonts w:ascii="Verdana" w:hAnsi="Verdana"/>
          <w:b/>
          <w:sz w:val="20"/>
          <w:szCs w:val="20"/>
        </w:rPr>
        <w:t>or peak experiences?</w:t>
      </w:r>
    </w:p>
    <w:p w:rsidR="008C761D" w:rsidRPr="00F244DC" w:rsidRDefault="00A41A75" w:rsidP="004C1839">
      <w:pPr>
        <w:spacing w:line="360" w:lineRule="auto"/>
        <w:rPr>
          <w:rFonts w:ascii="Verdana" w:hAnsi="Verdana"/>
          <w:sz w:val="20"/>
          <w:szCs w:val="20"/>
        </w:rPr>
      </w:pPr>
      <w:r w:rsidRPr="00F244DC">
        <w:rPr>
          <w:rFonts w:ascii="Verdana" w:hAnsi="Verdana"/>
          <w:sz w:val="20"/>
          <w:szCs w:val="20"/>
        </w:rPr>
        <w:t>Flow</w:t>
      </w:r>
      <w:r w:rsidR="00E4176C" w:rsidRPr="00F244DC">
        <w:rPr>
          <w:rFonts w:ascii="Verdana" w:hAnsi="Verdana"/>
          <w:sz w:val="20"/>
          <w:szCs w:val="20"/>
        </w:rPr>
        <w:t xml:space="preserve"> or peak experiences</w:t>
      </w:r>
      <w:r w:rsidRPr="00F244DC">
        <w:rPr>
          <w:rFonts w:ascii="Verdana" w:hAnsi="Verdana"/>
          <w:sz w:val="20"/>
          <w:szCs w:val="20"/>
        </w:rPr>
        <w:t xml:space="preserve">, </w:t>
      </w:r>
      <w:r w:rsidR="00365EF9" w:rsidRPr="00365EF9">
        <w:rPr>
          <w:rFonts w:ascii="Verdana" w:hAnsi="Verdana"/>
          <w:sz w:val="20"/>
          <w:szCs w:val="20"/>
        </w:rPr>
        <w:t>During optimal experience, a person is in a psychological state where he</w:t>
      </w:r>
      <w:r w:rsidR="00365EF9">
        <w:rPr>
          <w:rFonts w:ascii="Verdana" w:hAnsi="Verdana"/>
          <w:sz w:val="20"/>
          <w:szCs w:val="20"/>
        </w:rPr>
        <w:t xml:space="preserve"> </w:t>
      </w:r>
      <w:r w:rsidR="00365EF9" w:rsidRPr="00365EF9">
        <w:rPr>
          <w:rFonts w:ascii="Verdana" w:hAnsi="Verdana"/>
          <w:sz w:val="20"/>
          <w:szCs w:val="20"/>
        </w:rPr>
        <w:t>or she is so involved with the goal driven activity that nothing else seems to matter</w:t>
      </w:r>
      <w:r w:rsidR="00365EF9">
        <w:rPr>
          <w:rFonts w:ascii="Verdana" w:hAnsi="Verdana"/>
          <w:sz w:val="20"/>
          <w:szCs w:val="20"/>
        </w:rPr>
        <w:t xml:space="preserve"> (</w:t>
      </w:r>
      <w:r w:rsidR="00365EF9" w:rsidRPr="00365EF9">
        <w:rPr>
          <w:rFonts w:ascii="Verdana" w:hAnsi="Verdana"/>
          <w:sz w:val="20"/>
          <w:szCs w:val="20"/>
        </w:rPr>
        <w:t>Kiili</w:t>
      </w:r>
      <w:r w:rsidR="00365EF9">
        <w:rPr>
          <w:rFonts w:ascii="Verdana" w:hAnsi="Verdana"/>
          <w:sz w:val="20"/>
          <w:szCs w:val="20"/>
        </w:rPr>
        <w:t>, 200</w:t>
      </w:r>
      <w:r w:rsidR="004C1839">
        <w:rPr>
          <w:rFonts w:ascii="Verdana" w:hAnsi="Verdana"/>
          <w:sz w:val="20"/>
          <w:szCs w:val="20"/>
        </w:rPr>
        <w:t>5</w:t>
      </w:r>
      <w:r w:rsidR="00365EF9">
        <w:rPr>
          <w:rFonts w:ascii="Verdana" w:hAnsi="Verdana"/>
          <w:sz w:val="20"/>
          <w:szCs w:val="20"/>
        </w:rPr>
        <w:t>)</w:t>
      </w:r>
      <w:r w:rsidRPr="00F244DC">
        <w:rPr>
          <w:rFonts w:ascii="Verdana" w:hAnsi="Verdana"/>
          <w:sz w:val="20"/>
          <w:szCs w:val="20"/>
        </w:rPr>
        <w:t xml:space="preserve"> on the condition that the individual is not in state of anxiety (over stimulation) or boredom (under stimulation)</w:t>
      </w:r>
      <w:r w:rsidR="00683D72">
        <w:rPr>
          <w:rFonts w:ascii="Verdana" w:hAnsi="Verdana"/>
          <w:sz w:val="20"/>
          <w:szCs w:val="20"/>
        </w:rPr>
        <w:t xml:space="preserve"> (Kapp, 2012)</w:t>
      </w:r>
      <w:r w:rsidRPr="00F244DC">
        <w:rPr>
          <w:rFonts w:ascii="Verdana" w:hAnsi="Verdana"/>
          <w:sz w:val="20"/>
          <w:szCs w:val="20"/>
        </w:rPr>
        <w:t xml:space="preserve">. </w:t>
      </w:r>
      <w:r w:rsidR="00D454DF" w:rsidRPr="00F244DC">
        <w:rPr>
          <w:rFonts w:ascii="Verdana" w:hAnsi="Verdana"/>
          <w:sz w:val="20"/>
          <w:szCs w:val="20"/>
        </w:rPr>
        <w:t xml:space="preserve">However </w:t>
      </w:r>
      <w:r w:rsidR="00C809B7">
        <w:rPr>
          <w:rFonts w:ascii="Verdana" w:hAnsi="Verdana"/>
          <w:sz w:val="20"/>
          <w:szCs w:val="20"/>
        </w:rPr>
        <w:t>this state</w:t>
      </w:r>
      <w:r w:rsidR="008C761D" w:rsidRPr="00F244DC">
        <w:rPr>
          <w:rFonts w:ascii="Verdana" w:hAnsi="Verdana"/>
          <w:sz w:val="20"/>
          <w:szCs w:val="20"/>
          <w:lang w:val="en-US"/>
        </w:rPr>
        <w:t xml:space="preserve"> is not </w:t>
      </w:r>
      <w:r w:rsidR="00D454DF" w:rsidRPr="00F244DC">
        <w:rPr>
          <w:rFonts w:ascii="Verdana" w:hAnsi="Verdana"/>
          <w:sz w:val="20"/>
          <w:szCs w:val="20"/>
          <w:lang w:val="en-US"/>
        </w:rPr>
        <w:t>just limited</w:t>
      </w:r>
      <w:r w:rsidR="008C761D" w:rsidRPr="00F244DC">
        <w:rPr>
          <w:rFonts w:ascii="Verdana" w:hAnsi="Verdana"/>
          <w:sz w:val="20"/>
          <w:szCs w:val="20"/>
          <w:lang w:val="en-US"/>
        </w:rPr>
        <w:t xml:space="preserve"> to gaming, as studies of physical education also have their own </w:t>
      </w:r>
      <w:r w:rsidR="00083C84" w:rsidRPr="00F244DC">
        <w:rPr>
          <w:rFonts w:ascii="Verdana" w:hAnsi="Verdana"/>
          <w:sz w:val="20"/>
          <w:szCs w:val="20"/>
          <w:lang w:val="en-US"/>
        </w:rPr>
        <w:t xml:space="preserve">phenomenon </w:t>
      </w:r>
      <w:r w:rsidR="008C761D" w:rsidRPr="00F244DC">
        <w:rPr>
          <w:rFonts w:ascii="Verdana" w:hAnsi="Verdana"/>
          <w:sz w:val="20"/>
          <w:szCs w:val="20"/>
          <w:lang w:val="en-US"/>
        </w:rPr>
        <w:t xml:space="preserve">model </w:t>
      </w:r>
      <w:r w:rsidR="00C809B7">
        <w:rPr>
          <w:rFonts w:ascii="Verdana" w:hAnsi="Verdana"/>
          <w:sz w:val="20"/>
          <w:szCs w:val="20"/>
          <w:lang w:val="en-US"/>
        </w:rPr>
        <w:t>of this state</w:t>
      </w:r>
      <w:r w:rsidR="00083C84" w:rsidRPr="00F244DC">
        <w:rPr>
          <w:rFonts w:ascii="Verdana" w:hAnsi="Verdana"/>
          <w:sz w:val="20"/>
          <w:szCs w:val="20"/>
          <w:lang w:val="en-US"/>
        </w:rPr>
        <w:t xml:space="preserve"> </w:t>
      </w:r>
      <w:r w:rsidR="00C85795" w:rsidRPr="00F244DC">
        <w:rPr>
          <w:rFonts w:ascii="Verdana" w:hAnsi="Verdana"/>
          <w:sz w:val="20"/>
          <w:szCs w:val="20"/>
          <w:lang w:val="en-US"/>
        </w:rPr>
        <w:t>(Brown, 2008)</w:t>
      </w:r>
      <w:r w:rsidR="00D454DF" w:rsidRPr="00F244DC">
        <w:rPr>
          <w:rFonts w:ascii="Verdana" w:hAnsi="Verdana"/>
          <w:sz w:val="20"/>
          <w:szCs w:val="20"/>
          <w:lang w:val="en-US"/>
        </w:rPr>
        <w:t xml:space="preserve"> as shown below;</w:t>
      </w:r>
      <w:r w:rsidR="008C761D" w:rsidRPr="00F244DC">
        <w:rPr>
          <w:rFonts w:ascii="Verdana" w:hAnsi="Verdana"/>
          <w:sz w:val="20"/>
          <w:szCs w:val="20"/>
          <w:lang w:val="en-US"/>
        </w:rPr>
        <w:t xml:space="preserve"> </w:t>
      </w:r>
    </w:p>
    <w:tbl>
      <w:tblPr>
        <w:tblStyle w:val="TableGrid"/>
        <w:tblW w:w="0" w:type="auto"/>
        <w:tblInd w:w="675" w:type="dxa"/>
        <w:tblLook w:val="04A0" w:firstRow="1" w:lastRow="0" w:firstColumn="1" w:lastColumn="0" w:noHBand="0" w:noVBand="1"/>
      </w:tblPr>
      <w:tblGrid>
        <w:gridCol w:w="3119"/>
        <w:gridCol w:w="4536"/>
      </w:tblGrid>
      <w:tr w:rsidR="008C761D" w:rsidRPr="00F244DC" w:rsidTr="00FA5D1C">
        <w:tc>
          <w:tcPr>
            <w:tcW w:w="3119" w:type="dxa"/>
          </w:tcPr>
          <w:p w:rsidR="008C761D" w:rsidRPr="00F244DC" w:rsidRDefault="008C761D" w:rsidP="00F13E31">
            <w:pPr>
              <w:spacing w:line="360" w:lineRule="auto"/>
              <w:jc w:val="both"/>
              <w:rPr>
                <w:rFonts w:ascii="Verdana" w:hAnsi="Verdana"/>
                <w:sz w:val="20"/>
                <w:szCs w:val="20"/>
              </w:rPr>
            </w:pPr>
            <w:r w:rsidRPr="00F244DC">
              <w:rPr>
                <w:rFonts w:ascii="Verdana" w:hAnsi="Verdana"/>
                <w:sz w:val="20"/>
                <w:szCs w:val="20"/>
              </w:rPr>
              <w:t>Arnold (1979)</w:t>
            </w:r>
          </w:p>
        </w:tc>
        <w:tc>
          <w:tcPr>
            <w:tcW w:w="4536" w:type="dxa"/>
          </w:tcPr>
          <w:p w:rsidR="008C761D" w:rsidRPr="00F244DC" w:rsidRDefault="008C761D" w:rsidP="00F13E31">
            <w:pPr>
              <w:spacing w:line="360" w:lineRule="auto"/>
              <w:jc w:val="both"/>
              <w:rPr>
                <w:rFonts w:ascii="Verdana" w:hAnsi="Verdana"/>
                <w:sz w:val="20"/>
                <w:szCs w:val="20"/>
              </w:rPr>
            </w:pPr>
            <w:r w:rsidRPr="00F244DC">
              <w:rPr>
                <w:rFonts w:ascii="Verdana" w:hAnsi="Verdana"/>
                <w:sz w:val="20"/>
                <w:szCs w:val="20"/>
              </w:rPr>
              <w:t>Csikszentmihalyi (1975)</w:t>
            </w:r>
          </w:p>
        </w:tc>
      </w:tr>
      <w:tr w:rsidR="008C761D" w:rsidRPr="00F244DC" w:rsidTr="00FA5D1C">
        <w:tc>
          <w:tcPr>
            <w:tcW w:w="3119" w:type="dxa"/>
          </w:tcPr>
          <w:p w:rsidR="008C761D" w:rsidRPr="00F244DC" w:rsidRDefault="008C761D" w:rsidP="00F13E31">
            <w:pPr>
              <w:spacing w:line="360" w:lineRule="auto"/>
              <w:jc w:val="both"/>
              <w:rPr>
                <w:rFonts w:ascii="Verdana" w:hAnsi="Verdana"/>
                <w:sz w:val="20"/>
                <w:szCs w:val="20"/>
              </w:rPr>
            </w:pPr>
            <w:r w:rsidRPr="00F244DC">
              <w:rPr>
                <w:rFonts w:ascii="Verdana" w:hAnsi="Verdana"/>
                <w:sz w:val="20"/>
                <w:szCs w:val="20"/>
                <w:lang w:val="en-US"/>
              </w:rPr>
              <w:t xml:space="preserve">Uniqueness </w:t>
            </w:r>
          </w:p>
        </w:tc>
        <w:tc>
          <w:tcPr>
            <w:tcW w:w="4536" w:type="dxa"/>
          </w:tcPr>
          <w:p w:rsidR="008C761D" w:rsidRPr="00F244DC" w:rsidRDefault="008C761D" w:rsidP="00F13E31">
            <w:pPr>
              <w:spacing w:line="360" w:lineRule="auto"/>
              <w:jc w:val="both"/>
              <w:rPr>
                <w:rFonts w:ascii="Verdana" w:hAnsi="Verdana"/>
                <w:sz w:val="20"/>
                <w:szCs w:val="20"/>
              </w:rPr>
            </w:pPr>
            <w:r w:rsidRPr="00F244DC">
              <w:rPr>
                <w:rFonts w:ascii="Verdana" w:hAnsi="Verdana"/>
                <w:sz w:val="20"/>
                <w:szCs w:val="20"/>
              </w:rPr>
              <w:t>Challenge-skill balance</w:t>
            </w:r>
          </w:p>
        </w:tc>
      </w:tr>
      <w:tr w:rsidR="008C761D" w:rsidRPr="00F244DC" w:rsidTr="00FA5D1C">
        <w:tc>
          <w:tcPr>
            <w:tcW w:w="3119" w:type="dxa"/>
          </w:tcPr>
          <w:p w:rsidR="008C761D" w:rsidRPr="00F244DC" w:rsidRDefault="008C761D" w:rsidP="00F13E31">
            <w:pPr>
              <w:spacing w:line="360" w:lineRule="auto"/>
              <w:jc w:val="both"/>
              <w:rPr>
                <w:rFonts w:ascii="Verdana" w:hAnsi="Verdana"/>
                <w:sz w:val="20"/>
                <w:szCs w:val="20"/>
              </w:rPr>
            </w:pPr>
            <w:r w:rsidRPr="00F244DC">
              <w:rPr>
                <w:rFonts w:ascii="Verdana" w:hAnsi="Verdana"/>
                <w:sz w:val="20"/>
                <w:szCs w:val="20"/>
                <w:lang w:val="en-US"/>
              </w:rPr>
              <w:t>Transience of self</w:t>
            </w:r>
            <w:r w:rsidRPr="00F244DC">
              <w:rPr>
                <w:rFonts w:ascii="Verdana" w:hAnsi="Verdana"/>
                <w:sz w:val="20"/>
                <w:szCs w:val="20"/>
              </w:rPr>
              <w:t xml:space="preserve"> </w:t>
            </w:r>
          </w:p>
        </w:tc>
        <w:tc>
          <w:tcPr>
            <w:tcW w:w="4536" w:type="dxa"/>
          </w:tcPr>
          <w:p w:rsidR="008C761D" w:rsidRPr="00F244DC" w:rsidRDefault="008C761D" w:rsidP="00F13E31">
            <w:pPr>
              <w:spacing w:line="360" w:lineRule="auto"/>
              <w:jc w:val="both"/>
              <w:rPr>
                <w:rFonts w:ascii="Verdana" w:hAnsi="Verdana"/>
                <w:sz w:val="20"/>
                <w:szCs w:val="20"/>
              </w:rPr>
            </w:pPr>
            <w:r w:rsidRPr="00F244DC">
              <w:rPr>
                <w:rFonts w:ascii="Verdana" w:hAnsi="Verdana"/>
                <w:sz w:val="20"/>
                <w:szCs w:val="20"/>
              </w:rPr>
              <w:t>Merging of action and awareness</w:t>
            </w:r>
          </w:p>
        </w:tc>
      </w:tr>
      <w:tr w:rsidR="008C761D" w:rsidRPr="00F244DC" w:rsidTr="00FA5D1C">
        <w:tc>
          <w:tcPr>
            <w:tcW w:w="3119" w:type="dxa"/>
          </w:tcPr>
          <w:p w:rsidR="008C761D" w:rsidRPr="00F244DC" w:rsidRDefault="008C761D" w:rsidP="00F13E31">
            <w:pPr>
              <w:spacing w:line="360" w:lineRule="auto"/>
              <w:jc w:val="both"/>
              <w:rPr>
                <w:rFonts w:ascii="Verdana" w:hAnsi="Verdana"/>
                <w:sz w:val="20"/>
                <w:szCs w:val="20"/>
              </w:rPr>
            </w:pPr>
            <w:r w:rsidRPr="00F244DC">
              <w:rPr>
                <w:rFonts w:ascii="Verdana" w:hAnsi="Verdana"/>
                <w:sz w:val="20"/>
                <w:szCs w:val="20"/>
                <w:lang w:val="en-US"/>
              </w:rPr>
              <w:t>Euphoria in perfection</w:t>
            </w:r>
            <w:r w:rsidRPr="00F244DC">
              <w:rPr>
                <w:rFonts w:ascii="Verdana" w:hAnsi="Verdana"/>
                <w:sz w:val="20"/>
                <w:szCs w:val="20"/>
              </w:rPr>
              <w:t xml:space="preserve"> </w:t>
            </w:r>
          </w:p>
        </w:tc>
        <w:tc>
          <w:tcPr>
            <w:tcW w:w="4536" w:type="dxa"/>
          </w:tcPr>
          <w:p w:rsidR="008C761D" w:rsidRPr="00F244DC" w:rsidRDefault="008C761D" w:rsidP="00F13E31">
            <w:pPr>
              <w:spacing w:line="360" w:lineRule="auto"/>
              <w:jc w:val="both"/>
              <w:rPr>
                <w:rFonts w:ascii="Verdana" w:hAnsi="Verdana"/>
                <w:sz w:val="20"/>
                <w:szCs w:val="20"/>
              </w:rPr>
            </w:pPr>
            <w:r w:rsidRPr="00F244DC">
              <w:rPr>
                <w:rFonts w:ascii="Verdana" w:hAnsi="Verdana"/>
                <w:sz w:val="20"/>
                <w:szCs w:val="20"/>
              </w:rPr>
              <w:t>Immediate and unambiguous feedback</w:t>
            </w:r>
          </w:p>
        </w:tc>
      </w:tr>
      <w:tr w:rsidR="008C761D" w:rsidRPr="00F244DC" w:rsidTr="00FA5D1C">
        <w:tc>
          <w:tcPr>
            <w:tcW w:w="3119" w:type="dxa"/>
          </w:tcPr>
          <w:p w:rsidR="008C761D" w:rsidRPr="00F244DC" w:rsidRDefault="008C761D" w:rsidP="00F13E31">
            <w:pPr>
              <w:spacing w:line="360" w:lineRule="auto"/>
              <w:jc w:val="both"/>
              <w:rPr>
                <w:rFonts w:ascii="Verdana" w:hAnsi="Verdana"/>
                <w:sz w:val="20"/>
                <w:szCs w:val="20"/>
              </w:rPr>
            </w:pPr>
            <w:r w:rsidRPr="00F244DC">
              <w:rPr>
                <w:rFonts w:ascii="Verdana" w:hAnsi="Verdana"/>
                <w:sz w:val="20"/>
                <w:szCs w:val="20"/>
                <w:lang w:val="en-US"/>
              </w:rPr>
              <w:t>Total immersion</w:t>
            </w:r>
            <w:r w:rsidRPr="00F244DC">
              <w:rPr>
                <w:rFonts w:ascii="Verdana" w:hAnsi="Verdana"/>
                <w:sz w:val="20"/>
                <w:szCs w:val="20"/>
              </w:rPr>
              <w:t xml:space="preserve"> </w:t>
            </w:r>
          </w:p>
        </w:tc>
        <w:tc>
          <w:tcPr>
            <w:tcW w:w="4536" w:type="dxa"/>
          </w:tcPr>
          <w:p w:rsidR="008C761D" w:rsidRPr="00F244DC" w:rsidRDefault="008C761D" w:rsidP="00F13E31">
            <w:pPr>
              <w:spacing w:line="360" w:lineRule="auto"/>
              <w:jc w:val="both"/>
              <w:rPr>
                <w:rFonts w:ascii="Verdana" w:hAnsi="Verdana"/>
                <w:sz w:val="20"/>
                <w:szCs w:val="20"/>
              </w:rPr>
            </w:pPr>
            <w:r w:rsidRPr="00F244DC">
              <w:rPr>
                <w:rFonts w:ascii="Verdana" w:hAnsi="Verdana"/>
                <w:sz w:val="20"/>
                <w:szCs w:val="20"/>
              </w:rPr>
              <w:t>Concentration on the task at hand</w:t>
            </w:r>
          </w:p>
        </w:tc>
      </w:tr>
      <w:tr w:rsidR="008C761D" w:rsidRPr="00F244DC" w:rsidTr="00FA5D1C">
        <w:tc>
          <w:tcPr>
            <w:tcW w:w="3119" w:type="dxa"/>
          </w:tcPr>
          <w:p w:rsidR="008C761D" w:rsidRPr="00F244DC" w:rsidRDefault="008C761D" w:rsidP="00F13E31">
            <w:pPr>
              <w:spacing w:line="360" w:lineRule="auto"/>
              <w:jc w:val="both"/>
              <w:rPr>
                <w:rFonts w:ascii="Verdana" w:hAnsi="Verdana"/>
                <w:sz w:val="20"/>
                <w:szCs w:val="20"/>
              </w:rPr>
            </w:pPr>
            <w:r w:rsidRPr="00F244DC">
              <w:rPr>
                <w:rFonts w:ascii="Verdana" w:hAnsi="Verdana"/>
                <w:sz w:val="20"/>
                <w:szCs w:val="20"/>
                <w:lang w:val="en-US"/>
              </w:rPr>
              <w:t>Control</w:t>
            </w:r>
            <w:r w:rsidRPr="00F244DC">
              <w:rPr>
                <w:rFonts w:ascii="Verdana" w:hAnsi="Verdana"/>
                <w:sz w:val="20"/>
                <w:szCs w:val="20"/>
              </w:rPr>
              <w:t xml:space="preserve"> </w:t>
            </w:r>
          </w:p>
        </w:tc>
        <w:tc>
          <w:tcPr>
            <w:tcW w:w="4536" w:type="dxa"/>
          </w:tcPr>
          <w:p w:rsidR="008C761D" w:rsidRPr="00F244DC" w:rsidRDefault="008C761D" w:rsidP="00F13E31">
            <w:pPr>
              <w:spacing w:line="360" w:lineRule="auto"/>
              <w:jc w:val="both"/>
              <w:rPr>
                <w:rFonts w:ascii="Verdana" w:hAnsi="Verdana"/>
                <w:sz w:val="20"/>
                <w:szCs w:val="20"/>
              </w:rPr>
            </w:pPr>
            <w:r w:rsidRPr="00F244DC">
              <w:rPr>
                <w:rFonts w:ascii="Verdana" w:hAnsi="Verdana"/>
                <w:sz w:val="20"/>
                <w:szCs w:val="20"/>
              </w:rPr>
              <w:t>Paradox of control</w:t>
            </w:r>
          </w:p>
        </w:tc>
      </w:tr>
      <w:tr w:rsidR="008C761D" w:rsidRPr="00F244DC" w:rsidTr="00FA5D1C">
        <w:tc>
          <w:tcPr>
            <w:tcW w:w="3119" w:type="dxa"/>
          </w:tcPr>
          <w:p w:rsidR="008C761D" w:rsidRPr="00F244DC" w:rsidRDefault="008C761D" w:rsidP="00F13E31">
            <w:pPr>
              <w:spacing w:line="360" w:lineRule="auto"/>
              <w:jc w:val="both"/>
              <w:rPr>
                <w:rFonts w:ascii="Verdana" w:hAnsi="Verdana"/>
                <w:sz w:val="20"/>
                <w:szCs w:val="20"/>
              </w:rPr>
            </w:pPr>
            <w:r w:rsidRPr="00F244DC">
              <w:rPr>
                <w:rFonts w:ascii="Verdana" w:hAnsi="Verdana"/>
                <w:sz w:val="20"/>
                <w:szCs w:val="20"/>
                <w:lang w:val="en-US"/>
              </w:rPr>
              <w:t>Loss of fear</w:t>
            </w:r>
            <w:r w:rsidRPr="00F244DC">
              <w:rPr>
                <w:rFonts w:ascii="Verdana" w:hAnsi="Verdana"/>
                <w:sz w:val="20"/>
                <w:szCs w:val="20"/>
              </w:rPr>
              <w:t xml:space="preserve"> </w:t>
            </w:r>
          </w:p>
        </w:tc>
        <w:tc>
          <w:tcPr>
            <w:tcW w:w="4536" w:type="dxa"/>
          </w:tcPr>
          <w:p w:rsidR="008C761D" w:rsidRPr="00F244DC" w:rsidRDefault="008C761D" w:rsidP="00F13E31">
            <w:pPr>
              <w:spacing w:line="360" w:lineRule="auto"/>
              <w:jc w:val="both"/>
              <w:rPr>
                <w:rFonts w:ascii="Verdana" w:hAnsi="Verdana"/>
                <w:sz w:val="20"/>
                <w:szCs w:val="20"/>
              </w:rPr>
            </w:pPr>
            <w:r w:rsidRPr="00F244DC">
              <w:rPr>
                <w:rFonts w:ascii="Verdana" w:hAnsi="Verdana"/>
                <w:sz w:val="20"/>
                <w:szCs w:val="20"/>
              </w:rPr>
              <w:t>Loss of self-consciousness</w:t>
            </w:r>
          </w:p>
        </w:tc>
      </w:tr>
      <w:tr w:rsidR="008C761D" w:rsidRPr="00F244DC" w:rsidTr="00FA5D1C">
        <w:tc>
          <w:tcPr>
            <w:tcW w:w="3119" w:type="dxa"/>
          </w:tcPr>
          <w:p w:rsidR="008C761D" w:rsidRPr="00F244DC" w:rsidRDefault="008C761D" w:rsidP="00F13E31">
            <w:pPr>
              <w:spacing w:line="360" w:lineRule="auto"/>
              <w:jc w:val="both"/>
              <w:rPr>
                <w:rFonts w:ascii="Verdana" w:hAnsi="Verdana"/>
                <w:sz w:val="20"/>
                <w:szCs w:val="20"/>
              </w:rPr>
            </w:pPr>
            <w:r w:rsidRPr="00F244DC">
              <w:rPr>
                <w:rFonts w:ascii="Verdana" w:hAnsi="Verdana"/>
                <w:sz w:val="20"/>
                <w:szCs w:val="20"/>
                <w:lang w:val="en-US"/>
              </w:rPr>
              <w:t>Effortlessness</w:t>
            </w:r>
          </w:p>
        </w:tc>
        <w:tc>
          <w:tcPr>
            <w:tcW w:w="4536" w:type="dxa"/>
          </w:tcPr>
          <w:p w:rsidR="008C761D" w:rsidRPr="00F244DC" w:rsidRDefault="008C761D" w:rsidP="00F13E31">
            <w:pPr>
              <w:spacing w:line="360" w:lineRule="auto"/>
              <w:jc w:val="both"/>
              <w:rPr>
                <w:rFonts w:ascii="Verdana" w:hAnsi="Verdana"/>
                <w:sz w:val="20"/>
                <w:szCs w:val="20"/>
              </w:rPr>
            </w:pPr>
            <w:r w:rsidRPr="00F244DC">
              <w:rPr>
                <w:rFonts w:ascii="Verdana" w:hAnsi="Verdana"/>
                <w:sz w:val="20"/>
                <w:szCs w:val="20"/>
              </w:rPr>
              <w:t>Transformation of time</w:t>
            </w:r>
          </w:p>
        </w:tc>
      </w:tr>
      <w:tr w:rsidR="008C761D" w:rsidRPr="00F244DC" w:rsidTr="00FA5D1C">
        <w:tc>
          <w:tcPr>
            <w:tcW w:w="3119" w:type="dxa"/>
          </w:tcPr>
          <w:p w:rsidR="008C761D" w:rsidRPr="00F244DC" w:rsidRDefault="008C761D" w:rsidP="00F13E31">
            <w:pPr>
              <w:spacing w:line="360" w:lineRule="auto"/>
              <w:jc w:val="both"/>
              <w:rPr>
                <w:rFonts w:ascii="Verdana" w:hAnsi="Verdana"/>
                <w:sz w:val="20"/>
                <w:szCs w:val="20"/>
                <w:lang w:val="en-US"/>
              </w:rPr>
            </w:pPr>
          </w:p>
        </w:tc>
        <w:tc>
          <w:tcPr>
            <w:tcW w:w="4536" w:type="dxa"/>
          </w:tcPr>
          <w:p w:rsidR="008C761D" w:rsidRPr="00F244DC" w:rsidRDefault="008C761D" w:rsidP="00F13E31">
            <w:pPr>
              <w:spacing w:line="360" w:lineRule="auto"/>
              <w:jc w:val="both"/>
              <w:rPr>
                <w:rFonts w:ascii="Verdana" w:hAnsi="Verdana"/>
                <w:sz w:val="20"/>
                <w:szCs w:val="20"/>
              </w:rPr>
            </w:pPr>
            <w:r w:rsidRPr="00F244DC">
              <w:rPr>
                <w:rFonts w:ascii="Verdana" w:hAnsi="Verdana"/>
                <w:sz w:val="20"/>
                <w:szCs w:val="20"/>
              </w:rPr>
              <w:t>Autotelic (internally motivated) experience</w:t>
            </w:r>
          </w:p>
        </w:tc>
      </w:tr>
    </w:tbl>
    <w:p w:rsidR="00BB30F9" w:rsidRDefault="00BB30F9" w:rsidP="00F13E31">
      <w:pPr>
        <w:spacing w:line="360" w:lineRule="auto"/>
        <w:rPr>
          <w:rFonts w:ascii="Verdana" w:hAnsi="Verdana"/>
          <w:sz w:val="20"/>
          <w:szCs w:val="20"/>
        </w:rPr>
      </w:pPr>
    </w:p>
    <w:p w:rsidR="008C761D" w:rsidRPr="00F244DC" w:rsidRDefault="008C761D" w:rsidP="00F13E31">
      <w:pPr>
        <w:spacing w:line="360" w:lineRule="auto"/>
        <w:rPr>
          <w:rFonts w:ascii="Verdana" w:hAnsi="Verdana"/>
          <w:sz w:val="20"/>
          <w:szCs w:val="20"/>
        </w:rPr>
      </w:pPr>
      <w:r w:rsidRPr="00F244DC">
        <w:rPr>
          <w:rFonts w:ascii="Verdana" w:hAnsi="Verdana"/>
          <w:sz w:val="20"/>
          <w:szCs w:val="20"/>
        </w:rPr>
        <w:t xml:space="preserve">The difference between these two </w:t>
      </w:r>
      <w:r w:rsidR="006C6C17" w:rsidRPr="00F244DC">
        <w:rPr>
          <w:rFonts w:ascii="Verdana" w:hAnsi="Verdana"/>
          <w:sz w:val="20"/>
          <w:szCs w:val="20"/>
        </w:rPr>
        <w:t>theories</w:t>
      </w:r>
      <w:r w:rsidRPr="00F244DC">
        <w:rPr>
          <w:rFonts w:ascii="Verdana" w:hAnsi="Verdana"/>
          <w:sz w:val="20"/>
          <w:szCs w:val="20"/>
        </w:rPr>
        <w:t xml:space="preserve"> is that </w:t>
      </w:r>
      <w:r w:rsidR="00C465BA" w:rsidRPr="00F244DC">
        <w:rPr>
          <w:rFonts w:ascii="Verdana" w:hAnsi="Verdana"/>
          <w:sz w:val="20"/>
          <w:szCs w:val="20"/>
        </w:rPr>
        <w:t xml:space="preserve">both Arnold (1979) and Csikszentmihalyi (1975) agree that the individual needs a sense of control and to be immersed and </w:t>
      </w:r>
      <w:r w:rsidR="00D454DF" w:rsidRPr="00F244DC">
        <w:rPr>
          <w:rFonts w:ascii="Verdana" w:hAnsi="Verdana"/>
          <w:sz w:val="20"/>
          <w:szCs w:val="20"/>
        </w:rPr>
        <w:t>transcendent</w:t>
      </w:r>
      <w:r w:rsidR="00C465BA" w:rsidRPr="00F244DC">
        <w:rPr>
          <w:rFonts w:ascii="Verdana" w:hAnsi="Verdana"/>
          <w:sz w:val="20"/>
          <w:szCs w:val="20"/>
        </w:rPr>
        <w:t xml:space="preserve"> of themselves; however Arnold (1979) fails to </w:t>
      </w:r>
      <w:r w:rsidR="00D454DF" w:rsidRPr="00F244DC">
        <w:rPr>
          <w:rFonts w:ascii="Verdana" w:hAnsi="Verdana"/>
          <w:sz w:val="20"/>
          <w:szCs w:val="20"/>
        </w:rPr>
        <w:t>recognise</w:t>
      </w:r>
      <w:r w:rsidR="00C465BA" w:rsidRPr="00F244DC">
        <w:rPr>
          <w:rFonts w:ascii="Verdana" w:hAnsi="Verdana"/>
          <w:sz w:val="20"/>
          <w:szCs w:val="20"/>
        </w:rPr>
        <w:t xml:space="preserve"> that challenge has to be balanced with skill, instead claiming that the activity needs to be effortless and the participant becomes euphoric in perfection</w:t>
      </w:r>
      <w:r w:rsidR="00D454DF" w:rsidRPr="00F244DC">
        <w:rPr>
          <w:rFonts w:ascii="Verdana" w:hAnsi="Verdana"/>
          <w:sz w:val="20"/>
          <w:szCs w:val="20"/>
        </w:rPr>
        <w:t xml:space="preserve">, Arnold (1979) also does not list motivations as a contributing factor </w:t>
      </w:r>
      <w:r w:rsidR="006C6C17" w:rsidRPr="00F244DC">
        <w:rPr>
          <w:rFonts w:ascii="Verdana" w:hAnsi="Verdana"/>
          <w:sz w:val="20"/>
          <w:szCs w:val="20"/>
        </w:rPr>
        <w:t>peak experiences</w:t>
      </w:r>
      <w:r w:rsidR="00D454DF" w:rsidRPr="00F244DC">
        <w:rPr>
          <w:rFonts w:ascii="Verdana" w:hAnsi="Verdana"/>
          <w:sz w:val="20"/>
          <w:szCs w:val="20"/>
        </w:rPr>
        <w:t>, where Csikszentmihalyi (1975) suggests that the participant must be internally motivated whist engaging in the task.</w:t>
      </w:r>
      <w:r w:rsidR="00A41A75" w:rsidRPr="00F244DC">
        <w:rPr>
          <w:rFonts w:ascii="Verdana" w:hAnsi="Verdana"/>
          <w:sz w:val="20"/>
          <w:szCs w:val="20"/>
        </w:rPr>
        <w:t xml:space="preserve"> </w:t>
      </w:r>
    </w:p>
    <w:p w:rsidR="00E100EE" w:rsidRDefault="006C6C17" w:rsidP="002C39A8">
      <w:pPr>
        <w:spacing w:line="360" w:lineRule="auto"/>
        <w:rPr>
          <w:rFonts w:ascii="Verdana" w:hAnsi="Verdana"/>
          <w:sz w:val="20"/>
          <w:szCs w:val="20"/>
        </w:rPr>
      </w:pPr>
      <w:r w:rsidRPr="00F244DC">
        <w:rPr>
          <w:rFonts w:ascii="Verdana" w:hAnsi="Verdana"/>
          <w:sz w:val="20"/>
          <w:szCs w:val="20"/>
        </w:rPr>
        <w:t xml:space="preserve">Both models </w:t>
      </w:r>
      <w:r w:rsidR="00A41A75" w:rsidRPr="00F244DC">
        <w:rPr>
          <w:rFonts w:ascii="Verdana" w:hAnsi="Verdana"/>
          <w:sz w:val="20"/>
          <w:szCs w:val="20"/>
        </w:rPr>
        <w:t>suggest that anxiety and fear are the bane of th</w:t>
      </w:r>
      <w:r w:rsidR="00E4176C" w:rsidRPr="00F244DC">
        <w:rPr>
          <w:rFonts w:ascii="Verdana" w:hAnsi="Verdana"/>
          <w:sz w:val="20"/>
          <w:szCs w:val="20"/>
        </w:rPr>
        <w:t>is heightened state</w:t>
      </w:r>
      <w:r w:rsidR="00A41A75" w:rsidRPr="00F244DC">
        <w:rPr>
          <w:rFonts w:ascii="Verdana" w:hAnsi="Verdana"/>
          <w:sz w:val="20"/>
          <w:szCs w:val="20"/>
        </w:rPr>
        <w:t>, however Comfort Zone model</w:t>
      </w:r>
      <w:r w:rsidR="00E100EE">
        <w:rPr>
          <w:rFonts w:ascii="Verdana" w:hAnsi="Verdana"/>
          <w:sz w:val="20"/>
          <w:szCs w:val="20"/>
        </w:rPr>
        <w:t xml:space="preserve"> (</w:t>
      </w:r>
      <w:r w:rsidR="00356459">
        <w:rPr>
          <w:rFonts w:ascii="Verdana" w:hAnsi="Verdana"/>
          <w:sz w:val="20"/>
          <w:szCs w:val="20"/>
        </w:rPr>
        <w:t>Brown,</w:t>
      </w:r>
      <w:r w:rsidR="002C39A8">
        <w:rPr>
          <w:rFonts w:ascii="Verdana" w:hAnsi="Verdana"/>
          <w:sz w:val="20"/>
          <w:szCs w:val="20"/>
        </w:rPr>
        <w:t xml:space="preserve"> 2008</w:t>
      </w:r>
      <w:r w:rsidR="00B6506B" w:rsidRPr="00F244DC">
        <w:rPr>
          <w:rFonts w:ascii="Verdana" w:hAnsi="Verdana"/>
          <w:sz w:val="20"/>
          <w:szCs w:val="20"/>
        </w:rPr>
        <w:t xml:space="preserve">, which is </w:t>
      </w:r>
      <w:r w:rsidR="002C39A8">
        <w:rPr>
          <w:rFonts w:ascii="Verdana" w:hAnsi="Verdana"/>
          <w:sz w:val="20"/>
          <w:szCs w:val="20"/>
        </w:rPr>
        <w:t>widely accepted to be the</w:t>
      </w:r>
      <w:r w:rsidR="00B6506B" w:rsidRPr="00F244DC">
        <w:rPr>
          <w:rFonts w:ascii="Verdana" w:hAnsi="Verdana"/>
          <w:sz w:val="20"/>
          <w:szCs w:val="20"/>
        </w:rPr>
        <w:t xml:space="preserve"> model for </w:t>
      </w:r>
      <w:r w:rsidRPr="00F244DC">
        <w:rPr>
          <w:rFonts w:ascii="Verdana" w:hAnsi="Verdana"/>
          <w:sz w:val="20"/>
          <w:szCs w:val="20"/>
        </w:rPr>
        <w:t>learning and engagement</w:t>
      </w:r>
      <w:r w:rsidR="00B6506B" w:rsidRPr="00F244DC">
        <w:rPr>
          <w:rFonts w:ascii="Verdana" w:hAnsi="Verdana"/>
          <w:sz w:val="20"/>
          <w:szCs w:val="20"/>
        </w:rPr>
        <w:t xml:space="preserve"> in Outdoor education)</w:t>
      </w:r>
      <w:r w:rsidR="00A41A75" w:rsidRPr="00F244DC">
        <w:rPr>
          <w:rFonts w:ascii="Verdana" w:hAnsi="Verdana"/>
          <w:sz w:val="20"/>
          <w:szCs w:val="20"/>
        </w:rPr>
        <w:t xml:space="preserve"> suggest that a level of fear/anxiety is constructive to the learning </w:t>
      </w:r>
      <w:r w:rsidR="00356459" w:rsidRPr="00F244DC">
        <w:rPr>
          <w:rFonts w:ascii="Verdana" w:hAnsi="Verdana"/>
          <w:sz w:val="20"/>
          <w:szCs w:val="20"/>
        </w:rPr>
        <w:t>process otherwise</w:t>
      </w:r>
      <w:r w:rsidR="00B6506B" w:rsidRPr="00F244DC">
        <w:rPr>
          <w:rFonts w:ascii="Verdana" w:hAnsi="Verdana"/>
          <w:sz w:val="20"/>
          <w:szCs w:val="20"/>
        </w:rPr>
        <w:t xml:space="preserve"> the individual risks either not developing their skills or discontinuing the activity.</w:t>
      </w:r>
      <w:r w:rsidR="00A41A75" w:rsidRPr="00F244DC">
        <w:rPr>
          <w:rFonts w:ascii="Verdana" w:hAnsi="Verdana"/>
          <w:sz w:val="20"/>
          <w:szCs w:val="20"/>
        </w:rPr>
        <w:t xml:space="preserve"> </w:t>
      </w:r>
      <w:r w:rsidR="00053CB3">
        <w:rPr>
          <w:rFonts w:ascii="Verdana" w:hAnsi="Verdana"/>
          <w:sz w:val="20"/>
          <w:szCs w:val="20"/>
        </w:rPr>
        <w:t xml:space="preserve">The comfort zone model is structured </w:t>
      </w:r>
      <w:r w:rsidR="00053CB3">
        <w:rPr>
          <w:rFonts w:ascii="Verdana" w:hAnsi="Verdana"/>
          <w:sz w:val="20"/>
          <w:szCs w:val="20"/>
        </w:rPr>
        <w:lastRenderedPageBreak/>
        <w:t xml:space="preserve">with the individual’s zone of </w:t>
      </w:r>
      <w:r w:rsidR="00356459">
        <w:rPr>
          <w:rFonts w:ascii="Verdana" w:hAnsi="Verdana"/>
          <w:sz w:val="20"/>
          <w:szCs w:val="20"/>
        </w:rPr>
        <w:t>comfort situated</w:t>
      </w:r>
      <w:r w:rsidR="00053CB3">
        <w:rPr>
          <w:rFonts w:ascii="Verdana" w:hAnsi="Verdana"/>
          <w:sz w:val="20"/>
          <w:szCs w:val="20"/>
        </w:rPr>
        <w:t xml:space="preserve"> in the centre surrounded by the ‘panic zone’. The </w:t>
      </w:r>
      <w:r w:rsidR="00053CB3">
        <w:rPr>
          <w:rFonts w:ascii="Verdana" w:hAnsi="Verdana"/>
          <w:sz w:val="20"/>
          <w:szCs w:val="20"/>
        </w:rPr>
        <w:t>individual</w:t>
      </w:r>
      <w:r w:rsidR="00053CB3">
        <w:rPr>
          <w:rFonts w:ascii="Verdana" w:hAnsi="Verdana"/>
          <w:sz w:val="20"/>
          <w:szCs w:val="20"/>
        </w:rPr>
        <w:t xml:space="preserve"> moves further from their comfort zone through the panic zone as they experience</w:t>
      </w:r>
      <w:r w:rsidR="00053CB3">
        <w:rPr>
          <w:rFonts w:ascii="Verdana" w:hAnsi="Verdana"/>
          <w:sz w:val="20"/>
          <w:szCs w:val="20"/>
        </w:rPr>
        <w:t xml:space="preserve">   </w:t>
      </w:r>
      <w:r w:rsidR="00053CB3">
        <w:rPr>
          <w:rFonts w:ascii="Verdana" w:hAnsi="Verdana"/>
          <w:sz w:val="20"/>
          <w:szCs w:val="20"/>
        </w:rPr>
        <w:t>greater levels of stress or challenge</w:t>
      </w:r>
      <w:r w:rsidR="00E5167C">
        <w:rPr>
          <w:rFonts w:ascii="Verdana" w:hAnsi="Verdana"/>
          <w:sz w:val="20"/>
          <w:szCs w:val="20"/>
        </w:rPr>
        <w:t xml:space="preserve">. The risk is that the risk of the individual regressing back into their </w:t>
      </w:r>
      <w:r w:rsidR="00356459">
        <w:rPr>
          <w:rFonts w:ascii="Verdana" w:hAnsi="Verdana"/>
          <w:sz w:val="20"/>
          <w:szCs w:val="20"/>
        </w:rPr>
        <w:t>comfort</w:t>
      </w:r>
      <w:r w:rsidR="00E5167C">
        <w:rPr>
          <w:rFonts w:ascii="Verdana" w:hAnsi="Verdana"/>
          <w:sz w:val="20"/>
          <w:szCs w:val="20"/>
        </w:rPr>
        <w:t xml:space="preserve"> zone and suffering from an adverse learning experience increases if an individual experiences too much stress or challenge; meaning that the educator needs to control the levels of risk to their students</w:t>
      </w:r>
      <w:r w:rsidR="00053CB3">
        <w:rPr>
          <w:rFonts w:ascii="Verdana" w:hAnsi="Verdana"/>
          <w:sz w:val="20"/>
          <w:szCs w:val="20"/>
        </w:rPr>
        <w:t xml:space="preserve">. However the model is not an exclusive dualism as there is an area of overlap between the two zones which can be known as the challenge zone, and this </w:t>
      </w:r>
      <w:r w:rsidR="00E5167C">
        <w:rPr>
          <w:rFonts w:ascii="Verdana" w:hAnsi="Verdana"/>
          <w:sz w:val="20"/>
          <w:szCs w:val="20"/>
        </w:rPr>
        <w:t xml:space="preserve">is where personal growth and the development occurs, in an </w:t>
      </w:r>
      <w:r w:rsidR="00356459">
        <w:rPr>
          <w:rFonts w:ascii="Verdana" w:hAnsi="Verdana"/>
          <w:sz w:val="20"/>
          <w:szCs w:val="20"/>
        </w:rPr>
        <w:t>environment</w:t>
      </w:r>
      <w:r w:rsidR="00E5167C">
        <w:rPr>
          <w:rFonts w:ascii="Verdana" w:hAnsi="Verdana"/>
          <w:sz w:val="20"/>
          <w:szCs w:val="20"/>
        </w:rPr>
        <w:t xml:space="preserve"> of controlled fear and stress.</w:t>
      </w:r>
      <w:r w:rsidR="00E5167C" w:rsidRPr="00E5167C">
        <w:t xml:space="preserve"> </w:t>
      </w:r>
      <w:r w:rsidR="00E5167C">
        <w:rPr>
          <w:rFonts w:ascii="Verdana" w:hAnsi="Verdana"/>
          <w:sz w:val="20"/>
          <w:szCs w:val="20"/>
        </w:rPr>
        <w:t xml:space="preserve">(Brown, </w:t>
      </w:r>
      <w:r w:rsidR="00E5167C" w:rsidRPr="00E5167C">
        <w:rPr>
          <w:rFonts w:ascii="Verdana" w:hAnsi="Verdana"/>
          <w:sz w:val="20"/>
          <w:szCs w:val="20"/>
        </w:rPr>
        <w:t>2008</w:t>
      </w:r>
      <w:r w:rsidR="00E5167C">
        <w:rPr>
          <w:rFonts w:ascii="Verdana" w:hAnsi="Verdana"/>
          <w:sz w:val="20"/>
          <w:szCs w:val="20"/>
        </w:rPr>
        <w:t>)</w:t>
      </w:r>
    </w:p>
    <w:p w:rsidR="00915E9A" w:rsidRPr="00F244DC" w:rsidRDefault="00E5167C" w:rsidP="004C1839">
      <w:pPr>
        <w:spacing w:line="360" w:lineRule="auto"/>
        <w:rPr>
          <w:rFonts w:ascii="Verdana" w:hAnsi="Verdana"/>
          <w:sz w:val="20"/>
          <w:szCs w:val="20"/>
        </w:rPr>
      </w:pPr>
      <w:r>
        <w:rPr>
          <w:rFonts w:ascii="Verdana" w:hAnsi="Verdana"/>
          <w:sz w:val="20"/>
          <w:szCs w:val="20"/>
        </w:rPr>
        <w:t xml:space="preserve">The </w:t>
      </w:r>
      <w:r w:rsidR="00356459">
        <w:rPr>
          <w:rFonts w:ascii="Verdana" w:hAnsi="Verdana"/>
          <w:sz w:val="20"/>
          <w:szCs w:val="20"/>
        </w:rPr>
        <w:t>comfort</w:t>
      </w:r>
      <w:r>
        <w:rPr>
          <w:rFonts w:ascii="Verdana" w:hAnsi="Verdana"/>
          <w:sz w:val="20"/>
          <w:szCs w:val="20"/>
        </w:rPr>
        <w:t xml:space="preserve"> zone model resonates with aspects of Vygotsky’s</w:t>
      </w:r>
      <w:r w:rsidR="00BB30F9">
        <w:rPr>
          <w:rFonts w:ascii="Verdana" w:hAnsi="Verdana"/>
          <w:sz w:val="20"/>
          <w:szCs w:val="20"/>
        </w:rPr>
        <w:t xml:space="preserve"> (1962) Zone of Proximal Development model (Harasim, 2012), which highlights an individual’s current level of performance and the zone for future growth if facilitated by a teacher or more capable peer but falls short of suggesting a state of over stimulation. </w:t>
      </w:r>
      <w:r w:rsidR="007F2197" w:rsidRPr="00F244DC">
        <w:rPr>
          <w:rFonts w:ascii="Verdana" w:hAnsi="Verdana"/>
          <w:sz w:val="20"/>
          <w:szCs w:val="20"/>
        </w:rPr>
        <w:t>However r</w:t>
      </w:r>
      <w:r w:rsidR="00915E9A" w:rsidRPr="00F244DC">
        <w:rPr>
          <w:rFonts w:ascii="Verdana" w:hAnsi="Verdana"/>
          <w:sz w:val="20"/>
          <w:szCs w:val="20"/>
        </w:rPr>
        <w:t xml:space="preserve">egardless of the theory chosen to highlight the optimal state of stimulation Shernoff, Csikszentmihalyi, Schneider, &amp; Elisa (2003) </w:t>
      </w:r>
      <w:r w:rsidR="007F2197" w:rsidRPr="00F244DC">
        <w:rPr>
          <w:rFonts w:ascii="Verdana" w:hAnsi="Verdana"/>
          <w:sz w:val="20"/>
          <w:szCs w:val="20"/>
        </w:rPr>
        <w:t>points out that the state of flow is con</w:t>
      </w:r>
      <w:r w:rsidR="00BB30F9">
        <w:rPr>
          <w:rFonts w:ascii="Verdana" w:hAnsi="Verdana"/>
          <w:sz w:val="20"/>
          <w:szCs w:val="20"/>
        </w:rPr>
        <w:t>ductive to the learning process and a controlled level of stress greater than what the individual is accustomed to can be conductive to the learning process</w:t>
      </w:r>
      <w:r w:rsidR="004C1839">
        <w:rPr>
          <w:rFonts w:ascii="Verdana" w:hAnsi="Verdana"/>
          <w:sz w:val="20"/>
          <w:szCs w:val="20"/>
        </w:rPr>
        <w:t xml:space="preserve"> (Brown, 2008)</w:t>
      </w:r>
      <w:r w:rsidR="00BB30F9">
        <w:rPr>
          <w:rFonts w:ascii="Verdana" w:hAnsi="Verdana"/>
          <w:sz w:val="20"/>
          <w:szCs w:val="20"/>
        </w:rPr>
        <w:t>.</w:t>
      </w:r>
    </w:p>
    <w:p w:rsidR="00327068" w:rsidRPr="00F244DC" w:rsidRDefault="00327068" w:rsidP="00F13E31">
      <w:pPr>
        <w:spacing w:line="360" w:lineRule="auto"/>
        <w:rPr>
          <w:rFonts w:ascii="Verdana" w:hAnsi="Verdana"/>
          <w:b/>
          <w:sz w:val="20"/>
          <w:szCs w:val="20"/>
        </w:rPr>
      </w:pPr>
      <w:r w:rsidRPr="00F244DC">
        <w:rPr>
          <w:rFonts w:ascii="Verdana" w:hAnsi="Verdana"/>
          <w:b/>
          <w:sz w:val="20"/>
          <w:szCs w:val="20"/>
        </w:rPr>
        <w:t>Gamification</w:t>
      </w:r>
    </w:p>
    <w:p w:rsidR="00996148" w:rsidRPr="00F244DC" w:rsidRDefault="00193968" w:rsidP="00A62EAC">
      <w:pPr>
        <w:spacing w:line="360" w:lineRule="auto"/>
        <w:rPr>
          <w:rFonts w:ascii="Verdana" w:hAnsi="Verdana"/>
          <w:sz w:val="20"/>
          <w:szCs w:val="20"/>
        </w:rPr>
      </w:pPr>
      <w:r w:rsidRPr="00F244DC">
        <w:rPr>
          <w:rFonts w:ascii="Verdana" w:hAnsi="Verdana"/>
          <w:sz w:val="20"/>
          <w:szCs w:val="20"/>
        </w:rPr>
        <w:t>Kapp (2012) proposes that “gamification is using game-based mechanics, aesthetics and game thinking to engage people, motivate action, promote learning and solve problems. (pp.10)”</w:t>
      </w:r>
      <w:r w:rsidR="00A62EAC">
        <w:rPr>
          <w:rFonts w:ascii="Verdana" w:hAnsi="Verdana"/>
          <w:sz w:val="20"/>
          <w:szCs w:val="20"/>
        </w:rPr>
        <w:t>,</w:t>
      </w:r>
      <w:r w:rsidR="007F2197" w:rsidRPr="00F244DC">
        <w:rPr>
          <w:rFonts w:ascii="Verdana" w:hAnsi="Verdana"/>
          <w:sz w:val="20"/>
          <w:szCs w:val="20"/>
        </w:rPr>
        <w:t xml:space="preserve"> </w:t>
      </w:r>
      <w:r w:rsidR="00A62EAC">
        <w:rPr>
          <w:rFonts w:ascii="Verdana" w:hAnsi="Verdana"/>
          <w:sz w:val="20"/>
          <w:szCs w:val="20"/>
        </w:rPr>
        <w:t xml:space="preserve">However </w:t>
      </w:r>
      <w:r w:rsidR="00A62EAC" w:rsidRPr="00A62EAC">
        <w:rPr>
          <w:rFonts w:ascii="Verdana" w:hAnsi="Verdana"/>
          <w:sz w:val="20"/>
          <w:szCs w:val="20"/>
        </w:rPr>
        <w:t>Llagostera (2012)</w:t>
      </w:r>
      <w:r w:rsidR="00A62EAC">
        <w:rPr>
          <w:rFonts w:ascii="Verdana" w:hAnsi="Verdana"/>
          <w:sz w:val="20"/>
          <w:szCs w:val="20"/>
        </w:rPr>
        <w:t xml:space="preserve"> suggests that </w:t>
      </w:r>
      <w:r w:rsidR="00356459">
        <w:rPr>
          <w:rFonts w:ascii="Verdana" w:hAnsi="Verdana"/>
          <w:sz w:val="20"/>
          <w:szCs w:val="20"/>
        </w:rPr>
        <w:t>gamification</w:t>
      </w:r>
      <w:r w:rsidR="00A62EAC">
        <w:rPr>
          <w:rFonts w:ascii="Verdana" w:hAnsi="Verdana"/>
          <w:sz w:val="20"/>
          <w:szCs w:val="20"/>
        </w:rPr>
        <w:t xml:space="preserve"> is normally viewed as the addition of badges and </w:t>
      </w:r>
      <w:r w:rsidR="00356459">
        <w:rPr>
          <w:rFonts w:ascii="Verdana" w:hAnsi="Verdana"/>
          <w:sz w:val="20"/>
          <w:szCs w:val="20"/>
        </w:rPr>
        <w:t>leader board</w:t>
      </w:r>
      <w:r w:rsidR="00A62EAC">
        <w:rPr>
          <w:rFonts w:ascii="Verdana" w:hAnsi="Verdana"/>
          <w:sz w:val="20"/>
          <w:szCs w:val="20"/>
        </w:rPr>
        <w:t xml:space="preserve"> to induce an element of ‘</w:t>
      </w:r>
      <w:r w:rsidR="00356459">
        <w:rPr>
          <w:rFonts w:ascii="Verdana" w:hAnsi="Verdana"/>
          <w:sz w:val="20"/>
          <w:szCs w:val="20"/>
        </w:rPr>
        <w:t>playfulness</w:t>
      </w:r>
      <w:r w:rsidR="00A62EAC">
        <w:rPr>
          <w:rFonts w:ascii="Verdana" w:hAnsi="Verdana"/>
          <w:sz w:val="20"/>
          <w:szCs w:val="20"/>
        </w:rPr>
        <w:t>’ to the learning experience.</w:t>
      </w:r>
      <w:r w:rsidR="00A62EAC" w:rsidRPr="00A62EAC">
        <w:rPr>
          <w:rFonts w:ascii="Verdana" w:hAnsi="Verdana"/>
          <w:sz w:val="20"/>
          <w:szCs w:val="20"/>
        </w:rPr>
        <w:t xml:space="preserve"> </w:t>
      </w:r>
      <w:r w:rsidR="00A62EAC" w:rsidRPr="00F244DC">
        <w:rPr>
          <w:rFonts w:ascii="Verdana" w:hAnsi="Verdana"/>
          <w:sz w:val="20"/>
          <w:szCs w:val="20"/>
        </w:rPr>
        <w:t xml:space="preserve">This suggests that </w:t>
      </w:r>
      <w:r w:rsidR="00A62EAC">
        <w:rPr>
          <w:rFonts w:ascii="Verdana" w:hAnsi="Verdana"/>
          <w:sz w:val="20"/>
          <w:szCs w:val="20"/>
        </w:rPr>
        <w:t>gamification is the deconstruction of a game</w:t>
      </w:r>
      <w:r w:rsidR="00A62EAC">
        <w:rPr>
          <w:rFonts w:ascii="Verdana" w:hAnsi="Verdana"/>
          <w:sz w:val="20"/>
          <w:szCs w:val="20"/>
        </w:rPr>
        <w:t>’s</w:t>
      </w:r>
      <w:r w:rsidR="00A62EAC">
        <w:rPr>
          <w:rFonts w:ascii="Verdana" w:hAnsi="Verdana"/>
          <w:sz w:val="20"/>
          <w:szCs w:val="20"/>
        </w:rPr>
        <w:t xml:space="preserve"> </w:t>
      </w:r>
      <w:r w:rsidR="00A62EAC">
        <w:rPr>
          <w:rFonts w:ascii="Verdana" w:hAnsi="Verdana"/>
          <w:sz w:val="20"/>
          <w:szCs w:val="20"/>
        </w:rPr>
        <w:t xml:space="preserve">reward structure </w:t>
      </w:r>
      <w:r w:rsidR="00A62EAC">
        <w:rPr>
          <w:rFonts w:ascii="Verdana" w:hAnsi="Verdana"/>
          <w:sz w:val="20"/>
          <w:szCs w:val="20"/>
        </w:rPr>
        <w:t>and applying the concepts into reality.</w:t>
      </w:r>
      <w:r w:rsidR="00A62EAC">
        <w:rPr>
          <w:rFonts w:ascii="Verdana" w:hAnsi="Verdana"/>
          <w:sz w:val="20"/>
          <w:szCs w:val="20"/>
        </w:rPr>
        <w:t xml:space="preserve"> </w:t>
      </w:r>
      <w:r w:rsidR="00206FAA">
        <w:rPr>
          <w:rFonts w:ascii="Verdana" w:hAnsi="Verdana"/>
          <w:sz w:val="20"/>
          <w:szCs w:val="20"/>
        </w:rPr>
        <w:t xml:space="preserve">However </w:t>
      </w:r>
      <w:r w:rsidRPr="00F244DC">
        <w:rPr>
          <w:rFonts w:ascii="Verdana" w:hAnsi="Verdana"/>
          <w:sz w:val="20"/>
          <w:szCs w:val="20"/>
        </w:rPr>
        <w:t>Kapp (2012) insists that gamification  is not the addition of badges, rewards and rewards, trivialisation of learning, new (Kapp suggests that the seventh century game ‘Chaturanga’ may be the first use of gamification), foreign to learning professionals, perfect for all learning situations , easy to create or consist solely of game mechanics.</w:t>
      </w:r>
      <w:r w:rsidR="00A62EAC" w:rsidRPr="00A62EAC">
        <w:t xml:space="preserve"> </w:t>
      </w:r>
      <w:r w:rsidR="00356459">
        <w:rPr>
          <w:rFonts w:ascii="Verdana" w:hAnsi="Verdana"/>
          <w:sz w:val="20"/>
          <w:szCs w:val="20"/>
        </w:rPr>
        <w:t>In light of this, educators should take a process oriented approach to applying game elements rather than a goal orientated approach of rewards and outcomes (Kapp, 2012,</w:t>
      </w:r>
      <w:r w:rsidR="00356459" w:rsidRPr="00A62EAC">
        <w:t xml:space="preserve"> </w:t>
      </w:r>
      <w:r w:rsidR="00356459">
        <w:rPr>
          <w:rFonts w:ascii="Verdana" w:hAnsi="Verdana"/>
          <w:sz w:val="20"/>
          <w:szCs w:val="20"/>
        </w:rPr>
        <w:t>Llagostera, 2012</w:t>
      </w:r>
      <w:r w:rsidR="00356459" w:rsidRPr="00A62EAC">
        <w:rPr>
          <w:rFonts w:ascii="Verdana" w:hAnsi="Verdana"/>
          <w:sz w:val="20"/>
          <w:szCs w:val="20"/>
        </w:rPr>
        <w:t xml:space="preserve"> </w:t>
      </w:r>
      <w:r w:rsidR="00356459">
        <w:rPr>
          <w:rFonts w:ascii="Verdana" w:hAnsi="Verdana"/>
          <w:sz w:val="20"/>
          <w:szCs w:val="20"/>
        </w:rPr>
        <w:t xml:space="preserve">Salen &amp; Zimmerman, 2004) in order to let their students engage or in other words, </w:t>
      </w:r>
      <w:r w:rsidR="006902B1">
        <w:rPr>
          <w:rFonts w:ascii="Verdana" w:hAnsi="Verdana"/>
          <w:sz w:val="20"/>
          <w:szCs w:val="20"/>
        </w:rPr>
        <w:t>“</w:t>
      </w:r>
      <w:r w:rsidR="00356459">
        <w:rPr>
          <w:rFonts w:ascii="Verdana" w:hAnsi="Verdana"/>
          <w:sz w:val="20"/>
          <w:szCs w:val="20"/>
        </w:rPr>
        <w:t>play</w:t>
      </w:r>
      <w:r w:rsidR="006902B1">
        <w:rPr>
          <w:rFonts w:ascii="Verdana" w:hAnsi="Verdana"/>
          <w:sz w:val="20"/>
          <w:szCs w:val="20"/>
        </w:rPr>
        <w:t>”</w:t>
      </w:r>
      <w:bookmarkStart w:id="0" w:name="_GoBack"/>
      <w:bookmarkEnd w:id="0"/>
      <w:r w:rsidR="00356459">
        <w:rPr>
          <w:rFonts w:ascii="Verdana" w:hAnsi="Verdana"/>
          <w:sz w:val="20"/>
          <w:szCs w:val="20"/>
        </w:rPr>
        <w:t xml:space="preserve">. </w:t>
      </w:r>
    </w:p>
    <w:p w:rsidR="005618AA" w:rsidRPr="00F244DC" w:rsidRDefault="005618AA" w:rsidP="00F13E31">
      <w:pPr>
        <w:spacing w:line="360" w:lineRule="auto"/>
        <w:rPr>
          <w:rFonts w:ascii="Verdana" w:hAnsi="Verdana"/>
          <w:b/>
          <w:sz w:val="20"/>
          <w:szCs w:val="20"/>
        </w:rPr>
      </w:pPr>
      <w:r w:rsidRPr="00F244DC">
        <w:rPr>
          <w:rFonts w:ascii="Verdana" w:hAnsi="Verdana"/>
          <w:b/>
          <w:sz w:val="20"/>
          <w:szCs w:val="20"/>
        </w:rPr>
        <w:t>Play</w:t>
      </w:r>
      <w:r w:rsidR="008A4C37" w:rsidRPr="00F244DC">
        <w:rPr>
          <w:rFonts w:ascii="Verdana" w:hAnsi="Verdana"/>
          <w:b/>
          <w:sz w:val="20"/>
          <w:szCs w:val="20"/>
        </w:rPr>
        <w:t>ing in the “Magic Circle”</w:t>
      </w:r>
    </w:p>
    <w:p w:rsidR="00F244DC" w:rsidRPr="00F244DC" w:rsidRDefault="005618AA" w:rsidP="00F13E31">
      <w:pPr>
        <w:spacing w:line="360" w:lineRule="auto"/>
        <w:rPr>
          <w:rFonts w:ascii="Verdana" w:hAnsi="Verdana"/>
          <w:sz w:val="20"/>
          <w:szCs w:val="20"/>
        </w:rPr>
      </w:pPr>
      <w:r w:rsidRPr="00F244DC">
        <w:rPr>
          <w:rFonts w:ascii="Verdana" w:hAnsi="Verdana"/>
          <w:sz w:val="20"/>
          <w:szCs w:val="20"/>
        </w:rPr>
        <w:t xml:space="preserve">Salen &amp; Zimmerman (2004) suggest that “play is free movement within a more rigid structure” (pp.304). Malaby (2007) claims however that play is a form of activity with three intrinsic features, it is separable from everyday life (abstract), safe (no risk), and </w:t>
      </w:r>
      <w:r w:rsidRPr="00F244DC">
        <w:rPr>
          <w:rFonts w:ascii="Verdana" w:hAnsi="Verdana"/>
          <w:sz w:val="20"/>
          <w:szCs w:val="20"/>
        </w:rPr>
        <w:lastRenderedPageBreak/>
        <w:t>pleasurable or “fun”</w:t>
      </w:r>
      <w:r w:rsidR="00504790" w:rsidRPr="00F244DC">
        <w:rPr>
          <w:rFonts w:ascii="Verdana" w:hAnsi="Verdana"/>
          <w:sz w:val="20"/>
          <w:szCs w:val="20"/>
        </w:rPr>
        <w:t xml:space="preserve">. </w:t>
      </w:r>
      <w:r w:rsidR="00F244DC" w:rsidRPr="00F244DC">
        <w:rPr>
          <w:rFonts w:ascii="Verdana" w:hAnsi="Verdana"/>
          <w:sz w:val="20"/>
          <w:szCs w:val="20"/>
        </w:rPr>
        <w:t>Taking Salen &amp; Zimmerman’s example of a rigid structure and Malaby’s contention that play is abstract gives the impression of a space outside of reality or a “magic circle”.</w:t>
      </w:r>
      <w:r w:rsidRPr="00F244DC">
        <w:rPr>
          <w:rFonts w:ascii="Verdana" w:hAnsi="Verdana"/>
          <w:sz w:val="20"/>
          <w:szCs w:val="20"/>
        </w:rPr>
        <w:t xml:space="preserve"> </w:t>
      </w:r>
    </w:p>
    <w:p w:rsidR="00251D0E" w:rsidRPr="00F244DC" w:rsidRDefault="00251D0E" w:rsidP="00F13E31">
      <w:pPr>
        <w:spacing w:line="360" w:lineRule="auto"/>
        <w:rPr>
          <w:rFonts w:ascii="Verdana" w:hAnsi="Verdana"/>
          <w:sz w:val="20"/>
          <w:szCs w:val="20"/>
        </w:rPr>
      </w:pPr>
      <w:r w:rsidRPr="00F244DC">
        <w:rPr>
          <w:rFonts w:ascii="Verdana" w:hAnsi="Verdana"/>
          <w:sz w:val="20"/>
          <w:szCs w:val="20"/>
        </w:rPr>
        <w:t xml:space="preserve">Salen &amp; Zimmerman (2004) </w:t>
      </w:r>
      <w:r w:rsidR="005618AA" w:rsidRPr="00F244DC">
        <w:rPr>
          <w:rFonts w:ascii="Verdana" w:hAnsi="Verdana"/>
          <w:sz w:val="20"/>
          <w:szCs w:val="20"/>
        </w:rPr>
        <w:t>suggest that the “magic circle” is an</w:t>
      </w:r>
      <w:r w:rsidRPr="00F244DC">
        <w:rPr>
          <w:rFonts w:ascii="Verdana" w:hAnsi="Verdana"/>
          <w:sz w:val="20"/>
          <w:szCs w:val="20"/>
        </w:rPr>
        <w:t xml:space="preserve"> imaginary boundary which separates the physical space from the games space suggesting that the player is more or less removed from reality whilst in this space. Salen </w:t>
      </w:r>
      <w:r w:rsidR="00D454DF" w:rsidRPr="00F244DC">
        <w:rPr>
          <w:rFonts w:ascii="Verdana" w:hAnsi="Verdana"/>
          <w:sz w:val="20"/>
          <w:szCs w:val="20"/>
        </w:rPr>
        <w:t>&amp; Zimmerman</w:t>
      </w:r>
      <w:r w:rsidRPr="00F244DC">
        <w:rPr>
          <w:rFonts w:ascii="Verdana" w:hAnsi="Verdana"/>
          <w:sz w:val="20"/>
          <w:szCs w:val="20"/>
        </w:rPr>
        <w:t xml:space="preserve"> (2004) further the idea by suggesting that the framing of the game (which schema is used to understand them) influences if the magic circle is in fact open, closed or a mix of both. Consalvo (2009) however disputes the notion of the magic circle, claiming that gaming takes place in one of the series of frames in our lives; She makes this claim by suggesting that because players can shift between the game world and reality rapidly (thus moving between frames). Also Consalvo (2009) points out that virtual or game worlds are not beyond the reach of morals and values contained in society by illustrating a scenario in Final Fantasy IX Online, where a player was pushed poked and shouted at for being a “gil (gold) seller” (so trying to sell their items for real world currency, otherwise known as the Real Money Trade). This suggest that the player was involved in turning virtual goods into real currency, suggesting that the game world and reality are indeed connected, therefore the player is never really removed from either the game or real world, questioning the validity of the impregnable magic circle. Drawing these two differing views together, the magic circle (or frame) can be seen as a fluid barrier which blurs (and not define) the barrier between the realities.  </w:t>
      </w:r>
    </w:p>
    <w:p w:rsidR="00D452F7" w:rsidRPr="00F244DC" w:rsidRDefault="00F244DC" w:rsidP="00F13E31">
      <w:pPr>
        <w:spacing w:line="360" w:lineRule="auto"/>
        <w:rPr>
          <w:rFonts w:ascii="Verdana" w:hAnsi="Verdana"/>
          <w:b/>
          <w:sz w:val="20"/>
          <w:szCs w:val="20"/>
        </w:rPr>
      </w:pPr>
      <w:r w:rsidRPr="00F244DC">
        <w:rPr>
          <w:rFonts w:ascii="Verdana" w:hAnsi="Verdana"/>
          <w:b/>
          <w:sz w:val="20"/>
          <w:szCs w:val="20"/>
        </w:rPr>
        <w:t xml:space="preserve">Part 2: </w:t>
      </w:r>
      <w:r w:rsidR="00D452F7" w:rsidRPr="00F244DC">
        <w:rPr>
          <w:rFonts w:ascii="Verdana" w:hAnsi="Verdana"/>
          <w:b/>
          <w:sz w:val="20"/>
          <w:szCs w:val="20"/>
        </w:rPr>
        <w:t xml:space="preserve">Alchemy </w:t>
      </w:r>
      <w:r w:rsidR="00AA6FDA" w:rsidRPr="00F244DC">
        <w:rPr>
          <w:rFonts w:ascii="Verdana" w:hAnsi="Verdana"/>
          <w:b/>
          <w:sz w:val="20"/>
          <w:szCs w:val="20"/>
        </w:rPr>
        <w:t>program</w:t>
      </w:r>
      <w:r w:rsidR="00D452F7" w:rsidRPr="00F244DC">
        <w:rPr>
          <w:rFonts w:ascii="Verdana" w:hAnsi="Verdana"/>
          <w:b/>
          <w:sz w:val="20"/>
          <w:szCs w:val="20"/>
        </w:rPr>
        <w:t xml:space="preserve"> design </w:t>
      </w:r>
    </w:p>
    <w:p w:rsidR="00AA6FDA" w:rsidRPr="00F244DC" w:rsidRDefault="00C607D3" w:rsidP="002C39A8">
      <w:pPr>
        <w:spacing w:line="360" w:lineRule="auto"/>
        <w:rPr>
          <w:rFonts w:ascii="Verdana" w:hAnsi="Verdana"/>
          <w:sz w:val="20"/>
          <w:szCs w:val="20"/>
        </w:rPr>
      </w:pPr>
      <w:r w:rsidRPr="00F244DC">
        <w:rPr>
          <w:rFonts w:ascii="Verdana" w:hAnsi="Verdana"/>
          <w:sz w:val="20"/>
          <w:szCs w:val="20"/>
        </w:rPr>
        <w:t xml:space="preserve">This first aspect of the program requires students to source their raw materials for their alchemic reactions which can be done in a variety of different ways. Primarily the sourcing of materials would be conducted with a simple map with locations of </w:t>
      </w:r>
      <w:r w:rsidR="00925A14" w:rsidRPr="00F244DC">
        <w:rPr>
          <w:rFonts w:ascii="Verdana" w:hAnsi="Verdana"/>
          <w:sz w:val="20"/>
          <w:szCs w:val="20"/>
        </w:rPr>
        <w:t>caches which may</w:t>
      </w:r>
      <w:r w:rsidRPr="00F244DC">
        <w:rPr>
          <w:rFonts w:ascii="Verdana" w:hAnsi="Verdana"/>
          <w:sz w:val="20"/>
          <w:szCs w:val="20"/>
        </w:rPr>
        <w:t xml:space="preserve"> </w:t>
      </w:r>
      <w:r w:rsidR="00925A14" w:rsidRPr="00F244DC">
        <w:rPr>
          <w:rFonts w:ascii="Verdana" w:hAnsi="Verdana"/>
          <w:sz w:val="20"/>
          <w:szCs w:val="20"/>
        </w:rPr>
        <w:t xml:space="preserve">contain </w:t>
      </w:r>
      <w:r w:rsidRPr="00F244DC">
        <w:rPr>
          <w:rFonts w:ascii="Verdana" w:hAnsi="Verdana"/>
          <w:sz w:val="20"/>
          <w:szCs w:val="20"/>
        </w:rPr>
        <w:t>a hydrogen tank or iron bars</w:t>
      </w:r>
      <w:r w:rsidR="00925A14" w:rsidRPr="00F244DC">
        <w:rPr>
          <w:rFonts w:ascii="Verdana" w:hAnsi="Verdana"/>
          <w:sz w:val="20"/>
          <w:szCs w:val="20"/>
        </w:rPr>
        <w:t xml:space="preserve"> or a combination of different materials for students to collect; students then are to return to their alchemy lab to carry out the reactions.</w:t>
      </w:r>
      <w:r w:rsidR="002C39A8">
        <w:rPr>
          <w:rFonts w:ascii="Verdana" w:hAnsi="Verdana"/>
          <w:sz w:val="20"/>
          <w:szCs w:val="20"/>
        </w:rPr>
        <w:t xml:space="preserve"> </w:t>
      </w:r>
      <w:r w:rsidR="00AA6FDA" w:rsidRPr="00F244DC">
        <w:rPr>
          <w:rFonts w:ascii="Verdana" w:hAnsi="Verdana"/>
          <w:sz w:val="20"/>
          <w:szCs w:val="20"/>
        </w:rPr>
        <w:t xml:space="preserve">How this element of the program </w:t>
      </w:r>
      <w:r w:rsidR="00371FF5" w:rsidRPr="00F244DC">
        <w:rPr>
          <w:rFonts w:ascii="Verdana" w:hAnsi="Verdana"/>
          <w:sz w:val="20"/>
          <w:szCs w:val="20"/>
        </w:rPr>
        <w:t>is used</w:t>
      </w:r>
      <w:r w:rsidR="00AA6FDA" w:rsidRPr="00F244DC">
        <w:rPr>
          <w:rFonts w:ascii="Verdana" w:hAnsi="Verdana"/>
          <w:sz w:val="20"/>
          <w:szCs w:val="20"/>
        </w:rPr>
        <w:t xml:space="preserve"> left up to the teacher, the codes may be distributed around the classroom or expanded throughout the school grounds, </w:t>
      </w:r>
      <w:r w:rsidR="00327DCE" w:rsidRPr="00F244DC">
        <w:rPr>
          <w:rFonts w:ascii="Verdana" w:hAnsi="Verdana"/>
          <w:sz w:val="20"/>
          <w:szCs w:val="20"/>
        </w:rPr>
        <w:t>a n</w:t>
      </w:r>
      <w:r w:rsidR="00AA6FDA" w:rsidRPr="00F244DC">
        <w:rPr>
          <w:rFonts w:ascii="Verdana" w:hAnsi="Verdana"/>
          <w:sz w:val="20"/>
          <w:szCs w:val="20"/>
        </w:rPr>
        <w:t>ar</w:t>
      </w:r>
      <w:r w:rsidR="00327DCE" w:rsidRPr="00F244DC">
        <w:rPr>
          <w:rFonts w:ascii="Verdana" w:hAnsi="Verdana"/>
          <w:sz w:val="20"/>
          <w:szCs w:val="20"/>
        </w:rPr>
        <w:t>r</w:t>
      </w:r>
      <w:r w:rsidR="00AA6FDA" w:rsidRPr="00F244DC">
        <w:rPr>
          <w:rFonts w:ascii="Verdana" w:hAnsi="Verdana"/>
          <w:sz w:val="20"/>
          <w:szCs w:val="20"/>
        </w:rPr>
        <w:t xml:space="preserve">ative story of a </w:t>
      </w:r>
      <w:r w:rsidR="00327DCE" w:rsidRPr="00F244DC">
        <w:rPr>
          <w:rFonts w:ascii="Verdana" w:hAnsi="Verdana"/>
          <w:sz w:val="20"/>
          <w:szCs w:val="20"/>
        </w:rPr>
        <w:t>post-apocalyptic</w:t>
      </w:r>
      <w:r w:rsidR="00AA6FDA" w:rsidRPr="00F244DC">
        <w:rPr>
          <w:rFonts w:ascii="Verdana" w:hAnsi="Verdana"/>
          <w:sz w:val="20"/>
          <w:szCs w:val="20"/>
        </w:rPr>
        <w:t xml:space="preserve"> society in which students are looking for create ways to create materials to support the re-population of an area could be considered or maybe students are trying to look for ways to recycle organic and inorganic materials to solve future resource shortages</w:t>
      </w:r>
      <w:r w:rsidR="00B53DC5" w:rsidRPr="00F244DC">
        <w:rPr>
          <w:rFonts w:ascii="Verdana" w:hAnsi="Verdana"/>
          <w:sz w:val="20"/>
          <w:szCs w:val="20"/>
        </w:rPr>
        <w:t xml:space="preserve"> can be added to in an attempt to add context to the exercise</w:t>
      </w:r>
      <w:r w:rsidR="00AA6FDA" w:rsidRPr="00F244DC">
        <w:rPr>
          <w:rFonts w:ascii="Verdana" w:hAnsi="Verdana"/>
          <w:sz w:val="20"/>
          <w:szCs w:val="20"/>
        </w:rPr>
        <w:t xml:space="preserve">.  </w:t>
      </w:r>
    </w:p>
    <w:p w:rsidR="0031584D" w:rsidRPr="00F244DC" w:rsidRDefault="00371FF5" w:rsidP="00F13E31">
      <w:pPr>
        <w:spacing w:line="360" w:lineRule="auto"/>
        <w:rPr>
          <w:rFonts w:ascii="Verdana" w:hAnsi="Verdana"/>
          <w:sz w:val="20"/>
          <w:szCs w:val="20"/>
        </w:rPr>
      </w:pPr>
      <w:r w:rsidRPr="00F244DC">
        <w:rPr>
          <w:rFonts w:ascii="Verdana" w:hAnsi="Verdana"/>
          <w:sz w:val="20"/>
          <w:szCs w:val="20"/>
        </w:rPr>
        <w:t>For this example students would be trying to evade roving bandit gangs to bring back supplies to their home base in post-</w:t>
      </w:r>
      <w:r w:rsidR="0031584D" w:rsidRPr="00F244DC">
        <w:rPr>
          <w:rFonts w:ascii="Verdana" w:hAnsi="Verdana"/>
          <w:sz w:val="20"/>
          <w:szCs w:val="20"/>
        </w:rPr>
        <w:t>apocalyptic Melbourne</w:t>
      </w:r>
      <w:r w:rsidRPr="00F244DC">
        <w:rPr>
          <w:rFonts w:ascii="Verdana" w:hAnsi="Verdana"/>
          <w:sz w:val="20"/>
          <w:szCs w:val="20"/>
        </w:rPr>
        <w:t xml:space="preserve"> (or any other location</w:t>
      </w:r>
      <w:r w:rsidR="007750A1" w:rsidRPr="00F244DC">
        <w:rPr>
          <w:rFonts w:ascii="Verdana" w:hAnsi="Verdana"/>
          <w:sz w:val="20"/>
          <w:szCs w:val="20"/>
        </w:rPr>
        <w:t xml:space="preserve">), </w:t>
      </w:r>
      <w:r w:rsidR="0031584D" w:rsidRPr="00F244DC">
        <w:rPr>
          <w:rFonts w:ascii="Verdana" w:hAnsi="Verdana"/>
          <w:sz w:val="20"/>
          <w:szCs w:val="20"/>
        </w:rPr>
        <w:lastRenderedPageBreak/>
        <w:t>Students are motivated to run due to i</w:t>
      </w:r>
      <w:r w:rsidRPr="00F244DC">
        <w:rPr>
          <w:rFonts w:ascii="Verdana" w:hAnsi="Verdana"/>
          <w:sz w:val="20"/>
          <w:szCs w:val="20"/>
        </w:rPr>
        <w:t xml:space="preserve">f students fail to outrun the gang then they lose experience and have to </w:t>
      </w:r>
      <w:r w:rsidR="0031584D" w:rsidRPr="00F244DC">
        <w:rPr>
          <w:rFonts w:ascii="Verdana" w:hAnsi="Verdana"/>
          <w:sz w:val="20"/>
          <w:szCs w:val="20"/>
        </w:rPr>
        <w:t>start their run over. If in fact students outrun the gang long enough to return to base then they gain experience, to a point where they can purchase ‘perks’ such as early detection system or camouflage to evade their pursuers</w:t>
      </w:r>
      <w:r w:rsidR="00265B09" w:rsidRPr="00F244DC">
        <w:rPr>
          <w:rFonts w:ascii="Verdana" w:hAnsi="Verdana"/>
          <w:sz w:val="20"/>
          <w:szCs w:val="20"/>
        </w:rPr>
        <w:t>; h</w:t>
      </w:r>
      <w:r w:rsidR="0031584D" w:rsidRPr="00F244DC">
        <w:rPr>
          <w:rFonts w:ascii="Verdana" w:hAnsi="Verdana"/>
          <w:sz w:val="20"/>
          <w:szCs w:val="20"/>
        </w:rPr>
        <w:t>owever the frequency of the roving gangs become more frequent as the student progresses up the levels</w:t>
      </w:r>
      <w:r w:rsidR="00265B09" w:rsidRPr="00F244DC">
        <w:rPr>
          <w:rFonts w:ascii="Verdana" w:hAnsi="Verdana"/>
          <w:sz w:val="20"/>
          <w:szCs w:val="20"/>
        </w:rPr>
        <w:t>.</w:t>
      </w:r>
    </w:p>
    <w:p w:rsidR="006A4CC3" w:rsidRPr="00F244DC" w:rsidRDefault="007750A1" w:rsidP="00F13E31">
      <w:pPr>
        <w:spacing w:line="360" w:lineRule="auto"/>
        <w:rPr>
          <w:rFonts w:ascii="Verdana" w:hAnsi="Verdana"/>
          <w:sz w:val="20"/>
          <w:szCs w:val="20"/>
        </w:rPr>
      </w:pPr>
      <w:r w:rsidRPr="00F244DC">
        <w:rPr>
          <w:rFonts w:ascii="Verdana" w:hAnsi="Verdana"/>
          <w:sz w:val="20"/>
          <w:szCs w:val="20"/>
        </w:rPr>
        <w:t xml:space="preserve">When a student </w:t>
      </w:r>
      <w:r w:rsidR="006A4CC3" w:rsidRPr="00F244DC">
        <w:rPr>
          <w:rFonts w:ascii="Verdana" w:hAnsi="Verdana"/>
          <w:sz w:val="20"/>
          <w:szCs w:val="20"/>
        </w:rPr>
        <w:t>scans</w:t>
      </w:r>
      <w:r w:rsidRPr="00F244DC">
        <w:rPr>
          <w:rFonts w:ascii="Verdana" w:hAnsi="Verdana"/>
          <w:sz w:val="20"/>
          <w:szCs w:val="20"/>
        </w:rPr>
        <w:t xml:space="preserve"> a</w:t>
      </w:r>
      <w:r w:rsidR="006A4CC3" w:rsidRPr="00F244DC">
        <w:rPr>
          <w:rFonts w:ascii="Verdana" w:hAnsi="Verdana"/>
          <w:sz w:val="20"/>
          <w:szCs w:val="20"/>
        </w:rPr>
        <w:t>n</w:t>
      </w:r>
      <w:r w:rsidRPr="00F244DC">
        <w:rPr>
          <w:rFonts w:ascii="Verdana" w:hAnsi="Verdana"/>
          <w:sz w:val="20"/>
          <w:szCs w:val="20"/>
        </w:rPr>
        <w:t xml:space="preserve"> A</w:t>
      </w:r>
      <w:r w:rsidR="006A4CC3" w:rsidRPr="00F244DC">
        <w:rPr>
          <w:rFonts w:ascii="Verdana" w:hAnsi="Verdana"/>
          <w:sz w:val="20"/>
          <w:szCs w:val="20"/>
        </w:rPr>
        <w:t xml:space="preserve">R code the software will show information detailing core information surrounding the material as well as a </w:t>
      </w:r>
      <w:r w:rsidR="00171EA9" w:rsidRPr="00F244DC">
        <w:rPr>
          <w:rFonts w:ascii="Verdana" w:hAnsi="Verdana"/>
          <w:sz w:val="20"/>
          <w:szCs w:val="20"/>
        </w:rPr>
        <w:t xml:space="preserve">rotatable </w:t>
      </w:r>
      <w:r w:rsidR="006A4CC3" w:rsidRPr="00F244DC">
        <w:rPr>
          <w:rFonts w:ascii="Verdana" w:hAnsi="Verdana"/>
          <w:sz w:val="20"/>
          <w:szCs w:val="20"/>
        </w:rPr>
        <w:t xml:space="preserve">three </w:t>
      </w:r>
      <w:r w:rsidR="00265F4F" w:rsidRPr="00F244DC">
        <w:rPr>
          <w:rFonts w:ascii="Verdana" w:hAnsi="Verdana"/>
          <w:sz w:val="20"/>
          <w:szCs w:val="20"/>
        </w:rPr>
        <w:t>dimensional</w:t>
      </w:r>
      <w:r w:rsidR="006A4CC3" w:rsidRPr="00F244DC">
        <w:rPr>
          <w:rFonts w:ascii="Verdana" w:hAnsi="Verdana"/>
          <w:sz w:val="20"/>
          <w:szCs w:val="20"/>
        </w:rPr>
        <w:t xml:space="preserve"> model of the molecule; for example water:</w:t>
      </w:r>
      <w:r w:rsidRPr="00F244DC">
        <w:rPr>
          <w:rFonts w:ascii="Verdana" w:hAnsi="Verdana"/>
          <w:sz w:val="20"/>
          <w:szCs w:val="20"/>
        </w:rPr>
        <w:t xml:space="preserve"> </w:t>
      </w:r>
      <w:r w:rsidR="006A4CC3" w:rsidRPr="00F244DC">
        <w:rPr>
          <w:rFonts w:ascii="Verdana" w:hAnsi="Verdana"/>
          <w:sz w:val="20"/>
          <w:szCs w:val="20"/>
        </w:rPr>
        <w:tab/>
      </w:r>
    </w:p>
    <w:p w:rsidR="006A4CC3" w:rsidRPr="00F244DC" w:rsidRDefault="00171EA9" w:rsidP="00F13E31">
      <w:pPr>
        <w:spacing w:line="360" w:lineRule="auto"/>
        <w:jc w:val="center"/>
        <w:rPr>
          <w:rFonts w:ascii="Verdana" w:hAnsi="Verdana"/>
          <w:sz w:val="20"/>
          <w:szCs w:val="20"/>
        </w:rPr>
      </w:pPr>
      <w:r w:rsidRPr="00F244DC">
        <w:rPr>
          <w:rFonts w:ascii="Verdana" w:hAnsi="Verdana"/>
          <w:sz w:val="20"/>
          <w:szCs w:val="20"/>
        </w:rPr>
        <w:t>You have found: Water</w:t>
      </w:r>
    </w:p>
    <w:p w:rsidR="006A4CC3" w:rsidRPr="00F244DC" w:rsidRDefault="00171EA9" w:rsidP="00F13E31">
      <w:pPr>
        <w:spacing w:line="360" w:lineRule="auto"/>
        <w:ind w:left="720" w:firstLine="720"/>
        <w:rPr>
          <w:rFonts w:ascii="Verdana" w:hAnsi="Verdana"/>
          <w:sz w:val="20"/>
          <w:szCs w:val="20"/>
        </w:rPr>
      </w:pPr>
      <w:r w:rsidRPr="00F244DC">
        <w:rPr>
          <w:rFonts w:ascii="Verdana" w:hAnsi="Verdana"/>
          <w:noProof/>
          <w:sz w:val="20"/>
          <w:szCs w:val="20"/>
          <w:lang w:eastAsia="zh-CN"/>
        </w:rPr>
        <w:drawing>
          <wp:inline distT="0" distB="0" distL="0" distR="0" wp14:anchorId="2E8827AE" wp14:editId="386709D0">
            <wp:extent cx="3810000" cy="2857500"/>
            <wp:effectExtent l="0" t="0" r="0" b="0"/>
            <wp:docPr id="1" name="Picture 1" descr="3d model of water molecule Stock Photo - 13097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d model of water molecule Stock Photo - 130975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F244DC">
        <w:rPr>
          <w:rFonts w:ascii="Verdana" w:hAnsi="Verdana"/>
          <w:sz w:val="20"/>
          <w:szCs w:val="20"/>
        </w:rPr>
        <w:t>(123RF.com)</w:t>
      </w:r>
    </w:p>
    <w:p w:rsidR="006A4CC3" w:rsidRPr="00F244DC" w:rsidRDefault="00171EA9" w:rsidP="00F13E31">
      <w:pPr>
        <w:spacing w:line="360" w:lineRule="auto"/>
        <w:rPr>
          <w:rFonts w:ascii="Verdana" w:hAnsi="Verdana"/>
          <w:sz w:val="20"/>
          <w:szCs w:val="20"/>
        </w:rPr>
      </w:pPr>
      <w:r w:rsidRPr="00F244DC">
        <w:rPr>
          <w:rFonts w:ascii="Verdana" w:hAnsi="Verdana"/>
          <w:sz w:val="20"/>
          <w:szCs w:val="20"/>
        </w:rPr>
        <w:t>Water consists of two hydrogen and one oxygen atoms and w</w:t>
      </w:r>
      <w:r w:rsidR="006A4CC3" w:rsidRPr="00F244DC">
        <w:rPr>
          <w:rFonts w:ascii="Verdana" w:hAnsi="Verdana"/>
          <w:sz w:val="20"/>
          <w:szCs w:val="20"/>
        </w:rPr>
        <w:t xml:space="preserve">ater covers around 71% of the Earth's surface and is vital for all known forms of life. On Earth, 96.5% of the planet's water is found in seas and oceans, 1.7% in groundwater, 1.7% in glaciers and the ice caps of Antarctica and Greenland, a small fraction in other large water bodies, and 0.001% in the air as </w:t>
      </w:r>
      <w:r w:rsidR="00265F4F" w:rsidRPr="00F244DC">
        <w:rPr>
          <w:rFonts w:ascii="Verdana" w:hAnsi="Verdana"/>
          <w:sz w:val="20"/>
          <w:szCs w:val="20"/>
        </w:rPr>
        <w:t>vapour</w:t>
      </w:r>
      <w:r w:rsidR="006A4CC3" w:rsidRPr="00F244DC">
        <w:rPr>
          <w:rFonts w:ascii="Verdana" w:hAnsi="Verdana"/>
          <w:sz w:val="20"/>
          <w:szCs w:val="20"/>
        </w:rPr>
        <w:t>, clouds (formed of solid and liquid wa</w:t>
      </w:r>
      <w:r w:rsidRPr="00F244DC">
        <w:rPr>
          <w:rFonts w:ascii="Verdana" w:hAnsi="Verdana"/>
          <w:sz w:val="20"/>
          <w:szCs w:val="20"/>
        </w:rPr>
        <w:t>ter particles suspended in air)</w:t>
      </w:r>
      <w:r w:rsidR="006A4CC3" w:rsidRPr="00F244DC">
        <w:rPr>
          <w:rFonts w:ascii="Verdana" w:hAnsi="Verdana"/>
          <w:sz w:val="20"/>
          <w:szCs w:val="20"/>
        </w:rPr>
        <w:t xml:space="preserve"> and precipitation Only 2.5% of the Earth's water is freshwater, and 98.8% of that water is in ice and groundwater. Less than 0.3% of all freshwater is in rivers, lakes, and the atmosphere</w:t>
      </w:r>
      <w:r w:rsidRPr="00F244DC">
        <w:rPr>
          <w:rFonts w:ascii="Verdana" w:hAnsi="Verdana"/>
          <w:sz w:val="20"/>
          <w:szCs w:val="20"/>
        </w:rPr>
        <w:t>.</w:t>
      </w:r>
    </w:p>
    <w:p w:rsidR="00D452F7" w:rsidRPr="00F244DC" w:rsidRDefault="00D452F7" w:rsidP="00F13E31">
      <w:pPr>
        <w:spacing w:line="360" w:lineRule="auto"/>
        <w:rPr>
          <w:rFonts w:ascii="Verdana" w:hAnsi="Verdana"/>
          <w:b/>
          <w:sz w:val="20"/>
          <w:szCs w:val="20"/>
        </w:rPr>
      </w:pPr>
      <w:r w:rsidRPr="00F244DC">
        <w:rPr>
          <w:rFonts w:ascii="Verdana" w:hAnsi="Verdana"/>
          <w:b/>
          <w:sz w:val="20"/>
          <w:szCs w:val="20"/>
        </w:rPr>
        <w:t xml:space="preserve">Virtual lab </w:t>
      </w:r>
    </w:p>
    <w:p w:rsidR="00F20622" w:rsidRPr="00F244DC" w:rsidRDefault="00D452F7" w:rsidP="00F13E31">
      <w:pPr>
        <w:spacing w:line="360" w:lineRule="auto"/>
        <w:rPr>
          <w:rFonts w:ascii="Verdana" w:hAnsi="Verdana"/>
          <w:sz w:val="20"/>
          <w:szCs w:val="20"/>
        </w:rPr>
      </w:pPr>
      <w:r w:rsidRPr="00F244DC">
        <w:rPr>
          <w:rFonts w:ascii="Verdana" w:hAnsi="Verdana"/>
          <w:sz w:val="20"/>
          <w:szCs w:val="20"/>
        </w:rPr>
        <w:t>Students aim to complete chemical journals by splitting and c</w:t>
      </w:r>
      <w:r w:rsidR="00513049" w:rsidRPr="00F244DC">
        <w:rPr>
          <w:rFonts w:ascii="Verdana" w:hAnsi="Verdana"/>
          <w:sz w:val="20"/>
          <w:szCs w:val="20"/>
        </w:rPr>
        <w:t>ombining compounds as necessary, gradually increasing</w:t>
      </w:r>
      <w:r w:rsidR="00797866" w:rsidRPr="00F244DC">
        <w:rPr>
          <w:rFonts w:ascii="Verdana" w:hAnsi="Verdana"/>
          <w:sz w:val="20"/>
          <w:szCs w:val="20"/>
        </w:rPr>
        <w:t xml:space="preserve"> both player levels and game levels</w:t>
      </w:r>
      <w:r w:rsidR="00513049" w:rsidRPr="00F244DC">
        <w:rPr>
          <w:rFonts w:ascii="Verdana" w:hAnsi="Verdana"/>
          <w:sz w:val="20"/>
          <w:szCs w:val="20"/>
        </w:rPr>
        <w:t>.</w:t>
      </w:r>
      <w:r w:rsidR="00797866" w:rsidRPr="00F244DC">
        <w:rPr>
          <w:rFonts w:ascii="Verdana" w:hAnsi="Verdana"/>
          <w:sz w:val="20"/>
          <w:szCs w:val="20"/>
        </w:rPr>
        <w:t xml:space="preserve"> The game starts off with students bringing low level elements (low atomic mass) to combine into more </w:t>
      </w:r>
      <w:r w:rsidR="00797866" w:rsidRPr="00F244DC">
        <w:rPr>
          <w:rFonts w:ascii="Verdana" w:hAnsi="Verdana"/>
          <w:sz w:val="20"/>
          <w:szCs w:val="20"/>
        </w:rPr>
        <w:lastRenderedPageBreak/>
        <w:t>complex molecules, such as two hydrogen + one oxygen makes water. Players gain experience from effectively combining a range of various elem</w:t>
      </w:r>
      <w:r w:rsidR="00C607D3" w:rsidRPr="00F244DC">
        <w:rPr>
          <w:rFonts w:ascii="Verdana" w:hAnsi="Verdana"/>
          <w:sz w:val="20"/>
          <w:szCs w:val="20"/>
        </w:rPr>
        <w:t>ents and complet</w:t>
      </w:r>
      <w:r w:rsidR="00F20622" w:rsidRPr="00F244DC">
        <w:rPr>
          <w:rFonts w:ascii="Verdana" w:hAnsi="Verdana"/>
          <w:sz w:val="20"/>
          <w:szCs w:val="20"/>
        </w:rPr>
        <w:t>ing challenges and by doing so al</w:t>
      </w:r>
      <w:r w:rsidR="00C607D3" w:rsidRPr="00F244DC">
        <w:rPr>
          <w:rFonts w:ascii="Verdana" w:hAnsi="Verdana"/>
          <w:sz w:val="20"/>
          <w:szCs w:val="20"/>
        </w:rPr>
        <w:t>l</w:t>
      </w:r>
      <w:r w:rsidR="00F20622" w:rsidRPr="00F244DC">
        <w:rPr>
          <w:rFonts w:ascii="Verdana" w:hAnsi="Verdana"/>
          <w:sz w:val="20"/>
          <w:szCs w:val="20"/>
        </w:rPr>
        <w:t>ows them to unlock character ‘perks’</w:t>
      </w:r>
      <w:r w:rsidR="00C607D3" w:rsidRPr="00F244DC">
        <w:rPr>
          <w:rFonts w:ascii="Verdana" w:hAnsi="Verdana"/>
          <w:sz w:val="20"/>
          <w:szCs w:val="20"/>
        </w:rPr>
        <w:t>, such as collecting more</w:t>
      </w:r>
      <w:r w:rsidR="0031584D" w:rsidRPr="00F244DC">
        <w:rPr>
          <w:rFonts w:ascii="Verdana" w:hAnsi="Verdana"/>
          <w:sz w:val="20"/>
          <w:szCs w:val="20"/>
        </w:rPr>
        <w:t xml:space="preserve"> refined</w:t>
      </w:r>
      <w:r w:rsidR="00C607D3" w:rsidRPr="00F244DC">
        <w:rPr>
          <w:rFonts w:ascii="Verdana" w:hAnsi="Verdana"/>
          <w:sz w:val="20"/>
          <w:szCs w:val="20"/>
        </w:rPr>
        <w:t xml:space="preserve"> materials, access to higher game levels,</w:t>
      </w:r>
      <w:r w:rsidR="00925A14" w:rsidRPr="00F244DC">
        <w:rPr>
          <w:rFonts w:ascii="Verdana" w:hAnsi="Verdana"/>
          <w:sz w:val="20"/>
          <w:szCs w:val="20"/>
        </w:rPr>
        <w:t xml:space="preserve"> access to new materials or even</w:t>
      </w:r>
      <w:r w:rsidR="00C607D3" w:rsidRPr="00F244DC">
        <w:rPr>
          <w:rFonts w:ascii="Verdana" w:hAnsi="Verdana"/>
          <w:sz w:val="20"/>
          <w:szCs w:val="20"/>
        </w:rPr>
        <w:t xml:space="preserve"> a ‘philosophers stone’ to transmute compounds (like gold to lead) etc.  </w:t>
      </w:r>
      <w:r w:rsidR="00797866" w:rsidRPr="00F244DC">
        <w:rPr>
          <w:rFonts w:ascii="Verdana" w:hAnsi="Verdana"/>
          <w:sz w:val="20"/>
          <w:szCs w:val="20"/>
        </w:rPr>
        <w:t xml:space="preserve"> </w:t>
      </w:r>
    </w:p>
    <w:p w:rsidR="001C34A3" w:rsidRPr="00F244DC" w:rsidRDefault="00F20622" w:rsidP="00F13E31">
      <w:pPr>
        <w:spacing w:line="360" w:lineRule="auto"/>
        <w:rPr>
          <w:rFonts w:ascii="Verdana" w:hAnsi="Verdana"/>
          <w:sz w:val="20"/>
          <w:szCs w:val="20"/>
        </w:rPr>
      </w:pPr>
      <w:r w:rsidRPr="00F244DC">
        <w:rPr>
          <w:rFonts w:ascii="Verdana" w:hAnsi="Verdana"/>
          <w:sz w:val="20"/>
          <w:szCs w:val="20"/>
        </w:rPr>
        <w:t>The second aspect of the virtual alchemy lab is that as the students gain experience then new labs with more complex requirements</w:t>
      </w:r>
      <w:r w:rsidR="00C607D3" w:rsidRPr="00F244DC">
        <w:rPr>
          <w:rFonts w:ascii="Verdana" w:hAnsi="Verdana"/>
          <w:sz w:val="20"/>
          <w:szCs w:val="20"/>
        </w:rPr>
        <w:t xml:space="preserve"> are unlocked. The compounds become progressively harder as the student progresses through the labs, such as combining six carbon atoms , twelve hydrogen atoms and six oxygen atoms to create a glucose molecule; this continues until students are working in a reverse order to break down compounds into their base elements, then </w:t>
      </w:r>
      <w:r w:rsidR="00950CDB" w:rsidRPr="00F244DC">
        <w:rPr>
          <w:rFonts w:ascii="Verdana" w:hAnsi="Verdana"/>
          <w:sz w:val="20"/>
          <w:szCs w:val="20"/>
        </w:rPr>
        <w:t>reconstructing them as required; however s</w:t>
      </w:r>
      <w:r w:rsidR="00327DCE" w:rsidRPr="00F244DC">
        <w:rPr>
          <w:rFonts w:ascii="Verdana" w:hAnsi="Verdana"/>
          <w:sz w:val="20"/>
          <w:szCs w:val="20"/>
        </w:rPr>
        <w:t>tudents run the risk or creating unstable or dangerous materials which may burn, explode, irradiate, injure or ultimately kill their character if proper procedures are not met</w:t>
      </w:r>
      <w:r w:rsidR="00950CDB" w:rsidRPr="00F244DC">
        <w:rPr>
          <w:rFonts w:ascii="Verdana" w:hAnsi="Verdana"/>
          <w:sz w:val="20"/>
          <w:szCs w:val="20"/>
        </w:rPr>
        <w:t xml:space="preserve"> at higher levels</w:t>
      </w:r>
      <w:r w:rsidR="00327DCE" w:rsidRPr="00F244DC">
        <w:rPr>
          <w:rFonts w:ascii="Verdana" w:hAnsi="Verdana"/>
          <w:sz w:val="20"/>
          <w:szCs w:val="20"/>
        </w:rPr>
        <w:t xml:space="preserve">. This may be as simple as sequencing their reactions, the choice to heat or cool the </w:t>
      </w:r>
      <w:r w:rsidR="00371FF5" w:rsidRPr="00F244DC">
        <w:rPr>
          <w:rFonts w:ascii="Verdana" w:hAnsi="Verdana"/>
          <w:sz w:val="20"/>
          <w:szCs w:val="20"/>
        </w:rPr>
        <w:t>compounds</w:t>
      </w:r>
      <w:r w:rsidR="00327DCE" w:rsidRPr="00F244DC">
        <w:rPr>
          <w:rFonts w:ascii="Verdana" w:hAnsi="Verdana"/>
          <w:sz w:val="20"/>
          <w:szCs w:val="20"/>
        </w:rPr>
        <w:t xml:space="preserve"> or even how </w:t>
      </w:r>
      <w:r w:rsidR="00371FF5" w:rsidRPr="00F244DC">
        <w:rPr>
          <w:rFonts w:ascii="Verdana" w:hAnsi="Verdana"/>
          <w:sz w:val="20"/>
          <w:szCs w:val="20"/>
        </w:rPr>
        <w:t>each should</w:t>
      </w:r>
      <w:r w:rsidR="00327DCE" w:rsidRPr="00F244DC">
        <w:rPr>
          <w:rFonts w:ascii="Verdana" w:hAnsi="Verdana"/>
          <w:sz w:val="20"/>
          <w:szCs w:val="20"/>
        </w:rPr>
        <w:t xml:space="preserve"> be handled</w:t>
      </w:r>
      <w:r w:rsidR="00197B75" w:rsidRPr="00F244DC">
        <w:rPr>
          <w:rFonts w:ascii="Verdana" w:hAnsi="Verdana"/>
          <w:sz w:val="20"/>
          <w:szCs w:val="20"/>
        </w:rPr>
        <w:t>.</w:t>
      </w:r>
      <w:r w:rsidR="00327DCE" w:rsidRPr="00F244DC">
        <w:rPr>
          <w:rFonts w:ascii="Verdana" w:hAnsi="Verdana"/>
          <w:sz w:val="20"/>
          <w:szCs w:val="20"/>
        </w:rPr>
        <w:t xml:space="preserve"> </w:t>
      </w:r>
      <w:r w:rsidR="00950CDB" w:rsidRPr="00F244DC">
        <w:rPr>
          <w:rFonts w:ascii="Verdana" w:hAnsi="Verdana"/>
          <w:sz w:val="20"/>
          <w:szCs w:val="20"/>
        </w:rPr>
        <w:t>As the students create various materials background information is unlocked detailing the history of the material which includes common uses, attributes</w:t>
      </w:r>
      <w:r w:rsidR="005618AA" w:rsidRPr="00F244DC">
        <w:rPr>
          <w:rFonts w:ascii="Verdana" w:hAnsi="Verdana"/>
          <w:sz w:val="20"/>
          <w:szCs w:val="20"/>
        </w:rPr>
        <w:t xml:space="preserve">, place on the </w:t>
      </w:r>
      <w:r w:rsidR="003A2A10" w:rsidRPr="00F244DC">
        <w:rPr>
          <w:rFonts w:ascii="Verdana" w:hAnsi="Verdana"/>
          <w:sz w:val="20"/>
          <w:szCs w:val="20"/>
        </w:rPr>
        <w:t>periodic</w:t>
      </w:r>
      <w:r w:rsidR="005618AA" w:rsidRPr="00F244DC">
        <w:rPr>
          <w:rFonts w:ascii="Verdana" w:hAnsi="Verdana"/>
          <w:sz w:val="20"/>
          <w:szCs w:val="20"/>
        </w:rPr>
        <w:t xml:space="preserve"> table and the </w:t>
      </w:r>
      <w:r w:rsidR="003A2A10" w:rsidRPr="00F244DC">
        <w:rPr>
          <w:rFonts w:ascii="Verdana" w:hAnsi="Verdana"/>
          <w:sz w:val="20"/>
          <w:szCs w:val="20"/>
        </w:rPr>
        <w:t>scientific</w:t>
      </w:r>
      <w:r w:rsidR="005618AA" w:rsidRPr="00F244DC">
        <w:rPr>
          <w:rFonts w:ascii="Verdana" w:hAnsi="Verdana"/>
          <w:sz w:val="20"/>
          <w:szCs w:val="20"/>
        </w:rPr>
        <w:t xml:space="preserve"> </w:t>
      </w:r>
      <w:r w:rsidR="003A2A10" w:rsidRPr="00F244DC">
        <w:rPr>
          <w:rFonts w:ascii="Verdana" w:hAnsi="Verdana"/>
          <w:sz w:val="20"/>
          <w:szCs w:val="20"/>
        </w:rPr>
        <w:t>representation</w:t>
      </w:r>
      <w:r w:rsidR="005618AA" w:rsidRPr="00F244DC">
        <w:rPr>
          <w:rFonts w:ascii="Verdana" w:hAnsi="Verdana"/>
          <w:sz w:val="20"/>
          <w:szCs w:val="20"/>
        </w:rPr>
        <w:t xml:space="preserve"> of the molecule, (eg. </w:t>
      </w:r>
      <w:r w:rsidR="00197B75" w:rsidRPr="00F244DC">
        <w:rPr>
          <w:rFonts w:ascii="Verdana" w:hAnsi="Verdana"/>
          <w:sz w:val="20"/>
          <w:szCs w:val="20"/>
        </w:rPr>
        <w:t xml:space="preserve">Hydrogen is </w:t>
      </w:r>
      <w:r w:rsidR="003A2A10" w:rsidRPr="00F244DC">
        <w:rPr>
          <w:rFonts w:ascii="Verdana" w:hAnsi="Verdana"/>
          <w:sz w:val="20"/>
          <w:szCs w:val="20"/>
        </w:rPr>
        <w:t>represented</w:t>
      </w:r>
      <w:r w:rsidR="00197B75" w:rsidRPr="00F244DC">
        <w:rPr>
          <w:rFonts w:ascii="Verdana" w:hAnsi="Verdana"/>
          <w:sz w:val="20"/>
          <w:szCs w:val="20"/>
        </w:rPr>
        <w:t xml:space="preserve"> by H, but hydrogen peroxide is H2O2).</w:t>
      </w:r>
      <w:r w:rsidR="00950CDB" w:rsidRPr="00F244DC">
        <w:rPr>
          <w:rFonts w:ascii="Verdana" w:hAnsi="Verdana"/>
          <w:sz w:val="20"/>
          <w:szCs w:val="20"/>
        </w:rPr>
        <w:t xml:space="preserve">  </w:t>
      </w:r>
    </w:p>
    <w:p w:rsidR="00A34C48" w:rsidRPr="00F244DC" w:rsidRDefault="00A34C48" w:rsidP="00F13E31">
      <w:pPr>
        <w:spacing w:line="360" w:lineRule="auto"/>
        <w:rPr>
          <w:rFonts w:ascii="Verdana" w:hAnsi="Verdana"/>
          <w:b/>
          <w:sz w:val="20"/>
          <w:szCs w:val="20"/>
        </w:rPr>
      </w:pPr>
      <w:r w:rsidRPr="00F244DC">
        <w:rPr>
          <w:rFonts w:ascii="Verdana" w:hAnsi="Verdana"/>
          <w:sz w:val="20"/>
          <w:szCs w:val="20"/>
        </w:rPr>
        <w:t xml:space="preserve">The last aspect of the game design is that students are to be ranked in their class </w:t>
      </w:r>
      <w:r w:rsidR="00F244DC" w:rsidRPr="00F244DC">
        <w:rPr>
          <w:rFonts w:ascii="Verdana" w:hAnsi="Verdana"/>
          <w:sz w:val="20"/>
          <w:szCs w:val="20"/>
        </w:rPr>
        <w:t>leader board</w:t>
      </w:r>
      <w:r w:rsidRPr="00F244DC">
        <w:rPr>
          <w:rFonts w:ascii="Verdana" w:hAnsi="Verdana"/>
          <w:sz w:val="20"/>
          <w:szCs w:val="20"/>
        </w:rPr>
        <w:t xml:space="preserve"> and receive badges as they </w:t>
      </w:r>
      <w:r w:rsidR="00F244DC" w:rsidRPr="00F244DC">
        <w:rPr>
          <w:rFonts w:ascii="Verdana" w:hAnsi="Verdana"/>
          <w:sz w:val="20"/>
          <w:szCs w:val="20"/>
        </w:rPr>
        <w:t>fulfil</w:t>
      </w:r>
      <w:r w:rsidRPr="00F244DC">
        <w:rPr>
          <w:rFonts w:ascii="Verdana" w:hAnsi="Verdana"/>
          <w:sz w:val="20"/>
          <w:szCs w:val="20"/>
        </w:rPr>
        <w:t xml:space="preserve"> certain requirements</w:t>
      </w:r>
      <w:r w:rsidR="009255D3" w:rsidRPr="00F244DC">
        <w:rPr>
          <w:rFonts w:ascii="Verdana" w:hAnsi="Verdana"/>
          <w:sz w:val="20"/>
          <w:szCs w:val="20"/>
        </w:rPr>
        <w:t xml:space="preserve">, for example “Mastered the basics” after the player has synthesised the first 8 elements as a positive achievement or “Road kill” for </w:t>
      </w:r>
      <w:r w:rsidR="00F244DC" w:rsidRPr="00F244DC">
        <w:rPr>
          <w:rFonts w:ascii="Verdana" w:hAnsi="Verdana"/>
          <w:sz w:val="20"/>
          <w:szCs w:val="20"/>
        </w:rPr>
        <w:t>repeatedly</w:t>
      </w:r>
      <w:r w:rsidR="009255D3" w:rsidRPr="00F244DC">
        <w:rPr>
          <w:rFonts w:ascii="Verdana" w:hAnsi="Verdana"/>
          <w:sz w:val="20"/>
          <w:szCs w:val="20"/>
        </w:rPr>
        <w:t xml:space="preserve"> being caught whilst running for materials. </w:t>
      </w:r>
      <w:r w:rsidRPr="00F244DC">
        <w:rPr>
          <w:rFonts w:ascii="Verdana" w:hAnsi="Verdana"/>
          <w:b/>
          <w:sz w:val="20"/>
          <w:szCs w:val="20"/>
        </w:rPr>
        <w:t xml:space="preserve"> </w:t>
      </w:r>
    </w:p>
    <w:p w:rsidR="002C39A8" w:rsidRDefault="00356459" w:rsidP="00F13E31">
      <w:pPr>
        <w:spacing w:line="360" w:lineRule="auto"/>
        <w:rPr>
          <w:rFonts w:ascii="Verdana" w:hAnsi="Verdana"/>
          <w:b/>
          <w:sz w:val="20"/>
          <w:szCs w:val="20"/>
        </w:rPr>
      </w:pPr>
      <w:r>
        <w:rPr>
          <w:rFonts w:ascii="Verdana" w:hAnsi="Verdana"/>
          <w:b/>
          <w:sz w:val="20"/>
          <w:szCs w:val="20"/>
        </w:rPr>
        <w:t>Rationale</w:t>
      </w:r>
      <w:r w:rsidR="002C39A8">
        <w:rPr>
          <w:rFonts w:ascii="Verdana" w:hAnsi="Verdana"/>
          <w:b/>
          <w:sz w:val="20"/>
          <w:szCs w:val="20"/>
        </w:rPr>
        <w:t xml:space="preserve"> </w:t>
      </w:r>
    </w:p>
    <w:p w:rsidR="002C39A8" w:rsidRDefault="002C39A8" w:rsidP="004C1839">
      <w:pPr>
        <w:spacing w:line="360" w:lineRule="auto"/>
        <w:rPr>
          <w:rFonts w:ascii="Verdana" w:hAnsi="Verdana"/>
          <w:bCs/>
          <w:sz w:val="20"/>
          <w:szCs w:val="20"/>
        </w:rPr>
      </w:pPr>
      <w:r>
        <w:rPr>
          <w:rFonts w:ascii="Verdana" w:hAnsi="Verdana"/>
          <w:bCs/>
          <w:sz w:val="20"/>
          <w:szCs w:val="20"/>
        </w:rPr>
        <w:t xml:space="preserve">The </w:t>
      </w:r>
      <w:r w:rsidRPr="002C39A8">
        <w:rPr>
          <w:rFonts w:ascii="Verdana" w:hAnsi="Verdana"/>
          <w:bCs/>
          <w:sz w:val="20"/>
          <w:szCs w:val="20"/>
        </w:rPr>
        <w:t xml:space="preserve">Alchemy! </w:t>
      </w:r>
      <w:r>
        <w:rPr>
          <w:rFonts w:ascii="Verdana" w:hAnsi="Verdana"/>
          <w:bCs/>
          <w:sz w:val="20"/>
          <w:szCs w:val="20"/>
        </w:rPr>
        <w:t xml:space="preserve">game </w:t>
      </w:r>
      <w:r w:rsidRPr="002C39A8">
        <w:rPr>
          <w:rFonts w:ascii="Verdana" w:hAnsi="Verdana"/>
          <w:bCs/>
          <w:sz w:val="20"/>
          <w:szCs w:val="20"/>
        </w:rPr>
        <w:t>design</w:t>
      </w:r>
      <w:r>
        <w:rPr>
          <w:rFonts w:ascii="Verdana" w:hAnsi="Verdana"/>
          <w:bCs/>
          <w:sz w:val="20"/>
          <w:szCs w:val="20"/>
        </w:rPr>
        <w:t xml:space="preserve"> is heavily </w:t>
      </w:r>
      <w:r w:rsidR="00356459">
        <w:rPr>
          <w:rFonts w:ascii="Verdana" w:hAnsi="Verdana"/>
          <w:bCs/>
          <w:sz w:val="20"/>
          <w:szCs w:val="20"/>
        </w:rPr>
        <w:t>reliant</w:t>
      </w:r>
      <w:r>
        <w:rPr>
          <w:rFonts w:ascii="Verdana" w:hAnsi="Verdana"/>
          <w:bCs/>
          <w:sz w:val="20"/>
          <w:szCs w:val="20"/>
        </w:rPr>
        <w:t xml:space="preserve"> reward structures in order to be successful, which is shown through external rewards of character levels, </w:t>
      </w:r>
      <w:r w:rsidR="00356459">
        <w:rPr>
          <w:rFonts w:ascii="Verdana" w:hAnsi="Verdana"/>
          <w:bCs/>
          <w:sz w:val="20"/>
          <w:szCs w:val="20"/>
        </w:rPr>
        <w:t>leader boards</w:t>
      </w:r>
      <w:r>
        <w:rPr>
          <w:rFonts w:ascii="Verdana" w:hAnsi="Verdana"/>
          <w:bCs/>
          <w:sz w:val="20"/>
          <w:szCs w:val="20"/>
        </w:rPr>
        <w:t xml:space="preserve"> and perks </w:t>
      </w:r>
      <w:r>
        <w:rPr>
          <w:rFonts w:ascii="Verdana" w:hAnsi="Verdana"/>
          <w:bCs/>
          <w:sz w:val="20"/>
          <w:szCs w:val="20"/>
        </w:rPr>
        <w:t>(operant conditioning)</w:t>
      </w:r>
      <w:r>
        <w:rPr>
          <w:rFonts w:ascii="Verdana" w:hAnsi="Verdana"/>
          <w:bCs/>
          <w:sz w:val="20"/>
          <w:szCs w:val="20"/>
        </w:rPr>
        <w:t xml:space="preserve"> and development of interest through the process of exploration (s</w:t>
      </w:r>
      <w:r w:rsidRPr="002C39A8">
        <w:rPr>
          <w:rFonts w:ascii="Verdana" w:hAnsi="Verdana"/>
          <w:bCs/>
          <w:sz w:val="20"/>
          <w:szCs w:val="20"/>
        </w:rPr>
        <w:t>ocio-cognitive</w:t>
      </w:r>
      <w:r>
        <w:rPr>
          <w:rFonts w:ascii="Verdana" w:hAnsi="Verdana"/>
          <w:bCs/>
          <w:sz w:val="20"/>
          <w:szCs w:val="20"/>
        </w:rPr>
        <w:t xml:space="preserve"> view, active learning). </w:t>
      </w:r>
      <w:r w:rsidR="004C1839">
        <w:rPr>
          <w:rFonts w:ascii="Verdana" w:hAnsi="Verdana"/>
          <w:bCs/>
          <w:sz w:val="20"/>
          <w:szCs w:val="20"/>
        </w:rPr>
        <w:t>A key attribute to the program is the use of positive and negative achievements to motivate and b</w:t>
      </w:r>
      <w:r>
        <w:rPr>
          <w:rFonts w:ascii="Verdana" w:hAnsi="Verdana"/>
          <w:bCs/>
          <w:sz w:val="20"/>
          <w:szCs w:val="20"/>
        </w:rPr>
        <w:t xml:space="preserve">y taking this approach, the program is trying to be as diverse as possible to engage more learners through </w:t>
      </w:r>
      <w:r w:rsidR="004C1839">
        <w:rPr>
          <w:rFonts w:ascii="Verdana" w:hAnsi="Verdana"/>
          <w:bCs/>
          <w:sz w:val="20"/>
          <w:szCs w:val="20"/>
        </w:rPr>
        <w:t xml:space="preserve">the </w:t>
      </w:r>
      <w:r>
        <w:rPr>
          <w:rFonts w:ascii="Verdana" w:hAnsi="Verdana"/>
          <w:bCs/>
          <w:sz w:val="20"/>
          <w:szCs w:val="20"/>
        </w:rPr>
        <w:t>motivation</w:t>
      </w:r>
      <w:r w:rsidR="004C1839">
        <w:rPr>
          <w:rFonts w:ascii="Verdana" w:hAnsi="Verdana"/>
          <w:bCs/>
          <w:sz w:val="20"/>
          <w:szCs w:val="20"/>
        </w:rPr>
        <w:t xml:space="preserve"> to achieve good badges and avoid the negative ones</w:t>
      </w:r>
      <w:r>
        <w:rPr>
          <w:rFonts w:ascii="Verdana" w:hAnsi="Verdana"/>
          <w:bCs/>
          <w:sz w:val="20"/>
          <w:szCs w:val="20"/>
        </w:rPr>
        <w:t xml:space="preserve">. (Kapp, 2012, McInerney &amp; McInerney, </w:t>
      </w:r>
      <w:r w:rsidRPr="002C39A8">
        <w:rPr>
          <w:rFonts w:ascii="Verdana" w:hAnsi="Verdana"/>
          <w:bCs/>
          <w:sz w:val="20"/>
          <w:szCs w:val="20"/>
        </w:rPr>
        <w:t>2010)</w:t>
      </w:r>
    </w:p>
    <w:p w:rsidR="004C1839" w:rsidRPr="002C39A8" w:rsidRDefault="004C1839" w:rsidP="001201A2">
      <w:pPr>
        <w:spacing w:line="360" w:lineRule="auto"/>
        <w:rPr>
          <w:rFonts w:ascii="Verdana" w:hAnsi="Verdana"/>
          <w:bCs/>
          <w:sz w:val="20"/>
          <w:szCs w:val="20"/>
        </w:rPr>
      </w:pPr>
      <w:r>
        <w:rPr>
          <w:rFonts w:ascii="Verdana" w:hAnsi="Verdana"/>
          <w:bCs/>
          <w:sz w:val="20"/>
          <w:szCs w:val="20"/>
        </w:rPr>
        <w:t>Another</w:t>
      </w:r>
      <w:r w:rsidRPr="004C1839">
        <w:t xml:space="preserve"> </w:t>
      </w:r>
      <w:r>
        <w:rPr>
          <w:rFonts w:ascii="Verdana" w:hAnsi="Verdana"/>
          <w:bCs/>
          <w:sz w:val="20"/>
          <w:szCs w:val="20"/>
        </w:rPr>
        <w:t>aspect of this design</w:t>
      </w:r>
      <w:r w:rsidRPr="004C1839">
        <w:rPr>
          <w:rFonts w:ascii="Verdana" w:hAnsi="Verdana"/>
          <w:bCs/>
          <w:sz w:val="20"/>
          <w:szCs w:val="20"/>
        </w:rPr>
        <w:t xml:space="preserve"> </w:t>
      </w:r>
      <w:r>
        <w:rPr>
          <w:rFonts w:ascii="Verdana" w:hAnsi="Verdana"/>
          <w:bCs/>
          <w:sz w:val="20"/>
          <w:szCs w:val="20"/>
        </w:rPr>
        <w:t>is</w:t>
      </w:r>
      <w:r w:rsidRPr="004C1839">
        <w:rPr>
          <w:rFonts w:ascii="Verdana" w:hAnsi="Verdana"/>
          <w:bCs/>
          <w:sz w:val="20"/>
          <w:szCs w:val="20"/>
        </w:rPr>
        <w:t xml:space="preserve"> the use of augmented reality, Kuei-Fang, Chen &amp; Huang (2012) propose that augmented reality (AR) is one of the many areas of Mixed Reality (MR), which project virtual elements onto the surrounding real environment as opposed </w:t>
      </w:r>
      <w:r w:rsidRPr="004C1839">
        <w:rPr>
          <w:rFonts w:ascii="Verdana" w:hAnsi="Verdana"/>
          <w:bCs/>
          <w:sz w:val="20"/>
          <w:szCs w:val="20"/>
        </w:rPr>
        <w:lastRenderedPageBreak/>
        <w:t xml:space="preserve">to Virtual Reality (VR) or the more in its more recent manifestation of augmented virtuality where elements of the real world are placed into virtual environments. Kuei-Fang, Chen &amp; Huang (2012) suggest that </w:t>
      </w:r>
      <w:r w:rsidR="00356459" w:rsidRPr="004C1839">
        <w:rPr>
          <w:rFonts w:ascii="Verdana" w:hAnsi="Verdana"/>
          <w:bCs/>
          <w:sz w:val="20"/>
          <w:szCs w:val="20"/>
        </w:rPr>
        <w:t>augmented</w:t>
      </w:r>
      <w:r w:rsidRPr="004C1839">
        <w:rPr>
          <w:rFonts w:ascii="Verdana" w:hAnsi="Verdana"/>
          <w:bCs/>
          <w:sz w:val="20"/>
          <w:szCs w:val="20"/>
        </w:rPr>
        <w:t xml:space="preserve"> reality is more cost effective</w:t>
      </w:r>
      <w:r>
        <w:rPr>
          <w:rFonts w:ascii="Verdana" w:hAnsi="Verdana"/>
          <w:bCs/>
          <w:sz w:val="20"/>
          <w:szCs w:val="20"/>
        </w:rPr>
        <w:t xml:space="preserve"> for institutions, </w:t>
      </w:r>
      <w:r w:rsidRPr="004C1839">
        <w:rPr>
          <w:rFonts w:ascii="Verdana" w:hAnsi="Verdana"/>
          <w:bCs/>
          <w:sz w:val="20"/>
          <w:szCs w:val="20"/>
        </w:rPr>
        <w:t>more flexible due to developments in smart phone technology and that the programming aspect is easier for educators to engage in.</w:t>
      </w:r>
      <w:r w:rsidR="001201A2">
        <w:rPr>
          <w:rFonts w:ascii="Verdana" w:hAnsi="Verdana"/>
          <w:bCs/>
          <w:sz w:val="20"/>
          <w:szCs w:val="20"/>
        </w:rPr>
        <w:t xml:space="preserve"> </w:t>
      </w:r>
      <w:r>
        <w:rPr>
          <w:rFonts w:ascii="Verdana" w:hAnsi="Verdana"/>
          <w:bCs/>
          <w:sz w:val="20"/>
          <w:szCs w:val="20"/>
        </w:rPr>
        <w:t>Finally students are m</w:t>
      </w:r>
      <w:r w:rsidR="00356459">
        <w:rPr>
          <w:rFonts w:ascii="Verdana" w:hAnsi="Verdana"/>
          <w:bCs/>
          <w:sz w:val="20"/>
          <w:szCs w:val="20"/>
        </w:rPr>
        <w:t>ore likely to connect or recall</w:t>
      </w:r>
      <w:r>
        <w:rPr>
          <w:rFonts w:ascii="Verdana" w:hAnsi="Verdana"/>
          <w:bCs/>
          <w:sz w:val="20"/>
          <w:szCs w:val="20"/>
        </w:rPr>
        <w:t xml:space="preserve"> by offering content that is </w:t>
      </w:r>
      <w:r w:rsidR="00356459">
        <w:rPr>
          <w:rFonts w:ascii="Verdana" w:hAnsi="Verdana"/>
          <w:bCs/>
          <w:sz w:val="20"/>
          <w:szCs w:val="20"/>
        </w:rPr>
        <w:t>manipulable</w:t>
      </w:r>
      <w:r>
        <w:rPr>
          <w:rFonts w:ascii="Verdana" w:hAnsi="Verdana"/>
          <w:bCs/>
          <w:sz w:val="20"/>
          <w:szCs w:val="20"/>
        </w:rPr>
        <w:t xml:space="preserve"> by the individual</w:t>
      </w:r>
      <w:r w:rsidR="00356459">
        <w:rPr>
          <w:rFonts w:ascii="Verdana" w:hAnsi="Verdana"/>
          <w:bCs/>
          <w:sz w:val="20"/>
          <w:szCs w:val="20"/>
        </w:rPr>
        <w:t xml:space="preserve"> (</w:t>
      </w:r>
      <w:r w:rsidR="006902B1">
        <w:rPr>
          <w:rFonts w:ascii="Verdana" w:hAnsi="Verdana"/>
          <w:bCs/>
          <w:sz w:val="20"/>
          <w:szCs w:val="20"/>
        </w:rPr>
        <w:t>i.e.</w:t>
      </w:r>
      <w:r w:rsidR="00356459">
        <w:rPr>
          <w:rFonts w:ascii="Verdana" w:hAnsi="Verdana"/>
          <w:bCs/>
          <w:sz w:val="20"/>
          <w:szCs w:val="20"/>
        </w:rPr>
        <w:t xml:space="preserve"> able to be expanded or rotated)</w:t>
      </w:r>
      <w:r w:rsidR="001201A2">
        <w:rPr>
          <w:rFonts w:ascii="Verdana" w:hAnsi="Verdana"/>
          <w:bCs/>
          <w:sz w:val="20"/>
          <w:szCs w:val="20"/>
        </w:rPr>
        <w:t xml:space="preserve">.( Salen &amp; Zimmerman, 2004). This has been achieved by utilising touch screen </w:t>
      </w:r>
      <w:r w:rsidR="006902B1">
        <w:rPr>
          <w:rFonts w:ascii="Verdana" w:hAnsi="Verdana"/>
          <w:bCs/>
          <w:sz w:val="20"/>
          <w:szCs w:val="20"/>
        </w:rPr>
        <w:t>technologies</w:t>
      </w:r>
      <w:r w:rsidR="001201A2">
        <w:rPr>
          <w:rFonts w:ascii="Verdana" w:hAnsi="Verdana"/>
          <w:bCs/>
          <w:sz w:val="20"/>
          <w:szCs w:val="20"/>
        </w:rPr>
        <w:t xml:space="preserve"> on smart devices such as iPads or </w:t>
      </w:r>
      <w:r w:rsidR="006902B1">
        <w:rPr>
          <w:rFonts w:ascii="Verdana" w:hAnsi="Verdana"/>
          <w:bCs/>
          <w:sz w:val="20"/>
          <w:szCs w:val="20"/>
        </w:rPr>
        <w:t>associated</w:t>
      </w:r>
      <w:r w:rsidR="001201A2">
        <w:rPr>
          <w:rFonts w:ascii="Verdana" w:hAnsi="Verdana"/>
          <w:bCs/>
          <w:sz w:val="20"/>
          <w:szCs w:val="20"/>
        </w:rPr>
        <w:t xml:space="preserve"> devices.</w:t>
      </w:r>
    </w:p>
    <w:p w:rsidR="0083482D" w:rsidRPr="00F244DC" w:rsidRDefault="00F244DC" w:rsidP="00F13E31">
      <w:pPr>
        <w:spacing w:line="360" w:lineRule="auto"/>
        <w:rPr>
          <w:rFonts w:ascii="Verdana" w:hAnsi="Verdana"/>
          <w:b/>
          <w:sz w:val="20"/>
          <w:szCs w:val="20"/>
        </w:rPr>
      </w:pPr>
      <w:r w:rsidRPr="00F244DC">
        <w:rPr>
          <w:rFonts w:ascii="Verdana" w:hAnsi="Verdana"/>
          <w:b/>
          <w:sz w:val="20"/>
          <w:szCs w:val="20"/>
        </w:rPr>
        <w:t xml:space="preserve">Part 3: </w:t>
      </w:r>
      <w:r w:rsidR="0083482D" w:rsidRPr="00F244DC">
        <w:rPr>
          <w:rFonts w:ascii="Verdana" w:hAnsi="Verdana"/>
          <w:b/>
          <w:sz w:val="20"/>
          <w:szCs w:val="20"/>
        </w:rPr>
        <w:t>Outcomes</w:t>
      </w:r>
    </w:p>
    <w:p w:rsidR="005618AA" w:rsidRPr="00F244DC" w:rsidRDefault="0083482D" w:rsidP="00F13E31">
      <w:pPr>
        <w:spacing w:line="360" w:lineRule="auto"/>
        <w:rPr>
          <w:rFonts w:ascii="Verdana" w:hAnsi="Verdana"/>
          <w:sz w:val="20"/>
          <w:szCs w:val="20"/>
        </w:rPr>
      </w:pPr>
      <w:r w:rsidRPr="00F244DC">
        <w:rPr>
          <w:rFonts w:ascii="Verdana" w:hAnsi="Verdana"/>
          <w:sz w:val="20"/>
          <w:szCs w:val="20"/>
        </w:rPr>
        <w:t xml:space="preserve">The main </w:t>
      </w:r>
      <w:r w:rsidR="00356459">
        <w:rPr>
          <w:rFonts w:ascii="Verdana" w:hAnsi="Verdana"/>
          <w:sz w:val="20"/>
          <w:szCs w:val="20"/>
        </w:rPr>
        <w:t>outcome</w:t>
      </w:r>
      <w:r w:rsidR="00356459" w:rsidRPr="00F244DC">
        <w:rPr>
          <w:rFonts w:ascii="Verdana" w:hAnsi="Verdana"/>
          <w:sz w:val="20"/>
          <w:szCs w:val="20"/>
        </w:rPr>
        <w:t xml:space="preserve"> of this program surrounds</w:t>
      </w:r>
      <w:r w:rsidRPr="00F244DC">
        <w:rPr>
          <w:rFonts w:ascii="Verdana" w:hAnsi="Verdana"/>
          <w:sz w:val="20"/>
          <w:szCs w:val="20"/>
        </w:rPr>
        <w:t xml:space="preserve"> developing </w:t>
      </w:r>
      <w:r w:rsidR="00265F4F" w:rsidRPr="00F244DC">
        <w:rPr>
          <w:rFonts w:ascii="Verdana" w:hAnsi="Verdana"/>
          <w:sz w:val="20"/>
          <w:szCs w:val="20"/>
        </w:rPr>
        <w:t>students’</w:t>
      </w:r>
      <w:r w:rsidRPr="00F244DC">
        <w:rPr>
          <w:rFonts w:ascii="Verdana" w:hAnsi="Verdana"/>
          <w:sz w:val="20"/>
          <w:szCs w:val="20"/>
        </w:rPr>
        <w:t xml:space="preserve"> awareness of various chemicals which shape our daily lives by prompting s</w:t>
      </w:r>
      <w:r w:rsidR="007750A1" w:rsidRPr="00F244DC">
        <w:rPr>
          <w:rFonts w:ascii="Verdana" w:hAnsi="Verdana"/>
          <w:sz w:val="20"/>
          <w:szCs w:val="20"/>
        </w:rPr>
        <w:t>tudents to learn the chemical symbol</w:t>
      </w:r>
      <w:r w:rsidRPr="00F244DC">
        <w:rPr>
          <w:rFonts w:ascii="Verdana" w:hAnsi="Verdana"/>
          <w:sz w:val="20"/>
          <w:szCs w:val="20"/>
        </w:rPr>
        <w:t xml:space="preserve"> for common molecules.</w:t>
      </w:r>
      <w:r w:rsidR="00197B75" w:rsidRPr="00F244DC">
        <w:rPr>
          <w:rFonts w:ascii="Verdana" w:hAnsi="Verdana"/>
          <w:sz w:val="20"/>
          <w:szCs w:val="20"/>
        </w:rPr>
        <w:t xml:space="preserve"> By undertaking an experiential program, students hare becoming literate in being able to identify key aspects of molecules and key processes used in the lab </w:t>
      </w:r>
      <w:r w:rsidR="003A2A10" w:rsidRPr="00F244DC">
        <w:rPr>
          <w:rFonts w:ascii="Verdana" w:hAnsi="Verdana"/>
          <w:sz w:val="20"/>
          <w:szCs w:val="20"/>
        </w:rPr>
        <w:t>environment</w:t>
      </w:r>
      <w:r w:rsidR="00197B75" w:rsidRPr="00F244DC">
        <w:rPr>
          <w:rFonts w:ascii="Verdana" w:hAnsi="Verdana"/>
          <w:sz w:val="20"/>
          <w:szCs w:val="20"/>
        </w:rPr>
        <w:t xml:space="preserve">. </w:t>
      </w:r>
      <w:r w:rsidR="005618AA" w:rsidRPr="00F244DC">
        <w:rPr>
          <w:rFonts w:ascii="Verdana" w:hAnsi="Verdana"/>
          <w:sz w:val="20"/>
          <w:szCs w:val="20"/>
        </w:rPr>
        <w:t>Gee (1992) proposes that researchers think first on “semiotic domains” and then get to literacy in the more traditional sense. He then progresses to suggest that semiotic “is just a fancy way of saying we want to talk about all the sorts of things that can take on meaning” (pp.17) these can be images/photographs, sounds, gestures, equations or objects; even suggesting that people (such as nurses, mother etc.) can act as attachment for m</w:t>
      </w:r>
      <w:r w:rsidR="00197B75" w:rsidRPr="00F244DC">
        <w:rPr>
          <w:rFonts w:ascii="Verdana" w:hAnsi="Verdana"/>
          <w:sz w:val="20"/>
          <w:szCs w:val="20"/>
        </w:rPr>
        <w:t xml:space="preserve">eaning rather than just words.  </w:t>
      </w:r>
      <w:r w:rsidR="003A2A10" w:rsidRPr="00F244DC">
        <w:rPr>
          <w:rFonts w:ascii="Verdana" w:hAnsi="Verdana"/>
          <w:sz w:val="20"/>
          <w:szCs w:val="20"/>
        </w:rPr>
        <w:t>Considering</w:t>
      </w:r>
      <w:r w:rsidR="00197B75" w:rsidRPr="00F244DC">
        <w:rPr>
          <w:rFonts w:ascii="Verdana" w:hAnsi="Verdana"/>
          <w:sz w:val="20"/>
          <w:szCs w:val="20"/>
        </w:rPr>
        <w:t xml:space="preserve"> this, if students are able to attach meanings to their actions then they are more likely </w:t>
      </w:r>
      <w:r w:rsidR="007B7CF0" w:rsidRPr="00F244DC">
        <w:rPr>
          <w:rFonts w:ascii="Verdana" w:hAnsi="Verdana"/>
          <w:sz w:val="20"/>
          <w:szCs w:val="20"/>
        </w:rPr>
        <w:t xml:space="preserve">to remember them. </w:t>
      </w:r>
      <w:r w:rsidR="005618AA" w:rsidRPr="00F244DC">
        <w:rPr>
          <w:rFonts w:ascii="Verdana" w:hAnsi="Verdana"/>
          <w:sz w:val="20"/>
          <w:szCs w:val="20"/>
        </w:rPr>
        <w:t xml:space="preserve">Gee (1991) concludes that literacy is mastered through acquisition, not learning, that is, it requires exposures to models in natural, meaningful and functional settings; meaning that students need exposure to content outside of what Dewey (1935) </w:t>
      </w:r>
      <w:r w:rsidR="00BB30F9">
        <w:rPr>
          <w:rFonts w:ascii="Verdana" w:hAnsi="Verdana"/>
          <w:sz w:val="20"/>
          <w:szCs w:val="20"/>
        </w:rPr>
        <w:t xml:space="preserve">suggests as </w:t>
      </w:r>
      <w:r w:rsidR="005618AA" w:rsidRPr="00F244DC">
        <w:rPr>
          <w:rFonts w:ascii="Verdana" w:hAnsi="Verdana"/>
          <w:sz w:val="20"/>
          <w:szCs w:val="20"/>
        </w:rPr>
        <w:t>the ‘traditional school’ setting</w:t>
      </w:r>
    </w:p>
    <w:p w:rsidR="005618AA" w:rsidRPr="00F244DC" w:rsidRDefault="005618AA" w:rsidP="00F13E31">
      <w:pPr>
        <w:spacing w:line="360" w:lineRule="auto"/>
        <w:rPr>
          <w:rFonts w:ascii="Verdana" w:hAnsi="Verdana"/>
          <w:sz w:val="20"/>
          <w:szCs w:val="20"/>
        </w:rPr>
      </w:pPr>
      <w:r w:rsidRPr="00F244DC">
        <w:rPr>
          <w:rFonts w:ascii="Verdana" w:hAnsi="Verdana" w:cs="GaramondBE-Regular"/>
          <w:sz w:val="20"/>
          <w:szCs w:val="20"/>
        </w:rPr>
        <w:t>Apperley &amp; Walsh (2012) provide context for this in interactive technologies, suggesting that ‘during gameplay, pupils draw on their gaming literacies to accomplish difficult but motivating tasks and develop new knowledge by navigating the complex, changing virtual environment (pp.177)’ This suggests that students must break down the experience, recognise what is required to successfully navigate the learning therefore constructing meaning. Another way of viewing this is how Squire (2006) advocates for the re-framing of video gaming as ‘</w:t>
      </w:r>
      <w:r w:rsidRPr="00F244DC">
        <w:rPr>
          <w:rFonts w:ascii="Verdana" w:hAnsi="Verdana" w:cs="GaramondBE-Regular"/>
          <w:i/>
          <w:iCs/>
          <w:sz w:val="20"/>
          <w:szCs w:val="20"/>
        </w:rPr>
        <w:t xml:space="preserve">designed experience’ </w:t>
      </w:r>
      <w:r w:rsidRPr="00F244DC">
        <w:rPr>
          <w:rFonts w:ascii="Verdana" w:hAnsi="Verdana" w:cs="GaramondBE-Regular"/>
          <w:sz w:val="20"/>
          <w:szCs w:val="20"/>
        </w:rPr>
        <w:t>by</w:t>
      </w:r>
      <w:r w:rsidRPr="00F244DC">
        <w:rPr>
          <w:rFonts w:ascii="Verdana" w:hAnsi="Verdana"/>
          <w:sz w:val="20"/>
          <w:szCs w:val="20"/>
        </w:rPr>
        <w:t xml:space="preserve"> </w:t>
      </w:r>
      <w:r w:rsidRPr="00F244DC">
        <w:rPr>
          <w:rFonts w:ascii="Verdana" w:hAnsi="Verdana" w:cs="GaramondBE-Regular"/>
          <w:sz w:val="20"/>
          <w:szCs w:val="20"/>
        </w:rPr>
        <w:t>making player agency central importance, and proving an understanding what players do with them and the meanings that players construct through these actions</w:t>
      </w:r>
      <w:r w:rsidRPr="00F244DC">
        <w:rPr>
          <w:rFonts w:ascii="Verdana" w:hAnsi="Verdana"/>
          <w:sz w:val="20"/>
          <w:szCs w:val="20"/>
        </w:rPr>
        <w:t xml:space="preserve"> </w:t>
      </w:r>
      <w:r w:rsidRPr="00F244DC">
        <w:rPr>
          <w:rFonts w:ascii="Verdana" w:hAnsi="Verdana" w:cs="GaramondBE-Regular"/>
          <w:sz w:val="20"/>
          <w:szCs w:val="20"/>
        </w:rPr>
        <w:t>(Malone, 1981; Murray, 1997, cited in Squire, 2006)</w:t>
      </w:r>
    </w:p>
    <w:p w:rsidR="001201A2" w:rsidRDefault="001201A2" w:rsidP="00F13E31">
      <w:pPr>
        <w:spacing w:line="360" w:lineRule="auto"/>
        <w:rPr>
          <w:rFonts w:ascii="Verdana" w:hAnsi="Verdana"/>
          <w:b/>
          <w:bCs/>
          <w:sz w:val="20"/>
          <w:szCs w:val="20"/>
        </w:rPr>
      </w:pPr>
    </w:p>
    <w:p w:rsidR="00462962" w:rsidRPr="00206FAA" w:rsidRDefault="00206FAA" w:rsidP="00F13E31">
      <w:pPr>
        <w:spacing w:line="360" w:lineRule="auto"/>
        <w:rPr>
          <w:rFonts w:ascii="Verdana" w:hAnsi="Verdana"/>
          <w:b/>
          <w:bCs/>
          <w:sz w:val="20"/>
          <w:szCs w:val="20"/>
        </w:rPr>
      </w:pPr>
      <w:r>
        <w:rPr>
          <w:rFonts w:ascii="Verdana" w:hAnsi="Verdana"/>
          <w:b/>
          <w:bCs/>
          <w:sz w:val="20"/>
          <w:szCs w:val="20"/>
        </w:rPr>
        <w:lastRenderedPageBreak/>
        <w:t xml:space="preserve">Part 4: </w:t>
      </w:r>
      <w:r w:rsidR="00462962" w:rsidRPr="00206FAA">
        <w:rPr>
          <w:rFonts w:ascii="Verdana" w:hAnsi="Verdana"/>
          <w:b/>
          <w:bCs/>
          <w:sz w:val="20"/>
          <w:szCs w:val="20"/>
        </w:rPr>
        <w:t xml:space="preserve">Critique </w:t>
      </w:r>
    </w:p>
    <w:p w:rsidR="00AE0AF5" w:rsidRPr="00F244DC" w:rsidRDefault="00AE0AF5" w:rsidP="00AE0AF5">
      <w:pPr>
        <w:spacing w:line="360" w:lineRule="auto"/>
        <w:rPr>
          <w:rFonts w:ascii="Verdana" w:hAnsi="Verdana"/>
          <w:sz w:val="20"/>
          <w:szCs w:val="20"/>
        </w:rPr>
      </w:pPr>
      <w:r w:rsidRPr="00F244DC">
        <w:rPr>
          <w:rFonts w:ascii="Verdana" w:hAnsi="Verdana"/>
          <w:sz w:val="20"/>
          <w:szCs w:val="20"/>
        </w:rPr>
        <w:t xml:space="preserve">An important aspect to game design is critiquing how effective the game was in the classroom through a process of reflection (simular to the experiential education model shown earlier) However since this game hasn’t reached that point, the critique will be conducted by comparison to major theories of what constitutes a “good” game design </w:t>
      </w:r>
    </w:p>
    <w:p w:rsidR="00AE0AF5" w:rsidRPr="00F244DC" w:rsidRDefault="00356459" w:rsidP="00356459">
      <w:pPr>
        <w:spacing w:line="360" w:lineRule="auto"/>
        <w:rPr>
          <w:rFonts w:ascii="Verdana" w:hAnsi="Verdana"/>
          <w:sz w:val="20"/>
          <w:szCs w:val="20"/>
        </w:rPr>
      </w:pPr>
      <w:r w:rsidRPr="00F244DC">
        <w:rPr>
          <w:rFonts w:ascii="Verdana" w:hAnsi="Verdana"/>
          <w:sz w:val="20"/>
          <w:szCs w:val="20"/>
        </w:rPr>
        <w:t>The game design also was aimed at promoting physical activity through covertly engaging the students in interval based training</w:t>
      </w:r>
      <w:r>
        <w:rPr>
          <w:rFonts w:ascii="Verdana" w:hAnsi="Verdana"/>
          <w:sz w:val="20"/>
          <w:szCs w:val="20"/>
        </w:rPr>
        <w:t xml:space="preserve"> through the gamification of physical activity;</w:t>
      </w:r>
      <w:r w:rsidRPr="00F244DC">
        <w:rPr>
          <w:rFonts w:ascii="Verdana" w:hAnsi="Verdana"/>
          <w:sz w:val="20"/>
          <w:szCs w:val="20"/>
        </w:rPr>
        <w:t xml:space="preserve"> A meta-analysis conducted by Peng &amp; Crouse (2011) found that results from ‘active video games” (AVG’s) displayed simular results to moderate physical exertion, which correlate with a study conducted by Alasdair, Brown &amp; Meenan, (2013). </w:t>
      </w:r>
      <w:r w:rsidR="00AE0AF5" w:rsidRPr="00F244DC">
        <w:rPr>
          <w:rFonts w:ascii="Verdana" w:hAnsi="Verdana"/>
          <w:sz w:val="20"/>
          <w:szCs w:val="20"/>
        </w:rPr>
        <w:t>Theoretically the students engaging in a form of physical activity , but risk engaging in the activity on a superficial level since most of the effort and focus is on the science aspect of the activity</w:t>
      </w:r>
      <w:r w:rsidR="00206FAA">
        <w:rPr>
          <w:rFonts w:ascii="Verdana" w:hAnsi="Verdana"/>
          <w:sz w:val="20"/>
          <w:szCs w:val="20"/>
        </w:rPr>
        <w:t>.</w:t>
      </w:r>
      <w:r w:rsidR="00AE0AF5" w:rsidRPr="00F244DC">
        <w:rPr>
          <w:rFonts w:ascii="Verdana" w:hAnsi="Verdana"/>
          <w:sz w:val="20"/>
          <w:szCs w:val="20"/>
        </w:rPr>
        <w:t xml:space="preserve"> </w:t>
      </w:r>
    </w:p>
    <w:p w:rsidR="00BB30F9" w:rsidRDefault="005618AA" w:rsidP="006B59AA">
      <w:pPr>
        <w:spacing w:line="360" w:lineRule="auto"/>
        <w:rPr>
          <w:rFonts w:ascii="Verdana" w:hAnsi="Verdana"/>
          <w:sz w:val="20"/>
          <w:szCs w:val="20"/>
        </w:rPr>
      </w:pPr>
      <w:r w:rsidRPr="00F244DC">
        <w:rPr>
          <w:rFonts w:ascii="Verdana" w:hAnsi="Verdana"/>
          <w:sz w:val="20"/>
          <w:szCs w:val="20"/>
        </w:rPr>
        <w:t>Kapp (2012) suggests that game designers need to consider the role of rules, conflict/competition/cooperation, time, reward structures, feedback, levels, storytelling, ‘curve of interest’, aesthetics and replayability.</w:t>
      </w:r>
      <w:r w:rsidR="003A2A10" w:rsidRPr="00F244DC">
        <w:rPr>
          <w:rFonts w:ascii="Verdana" w:hAnsi="Verdana"/>
          <w:sz w:val="20"/>
          <w:szCs w:val="20"/>
        </w:rPr>
        <w:t xml:space="preserve"> This has been achieved to some extent, with the game consisting of a combination of rules, competition and game/player level progression; however the design is underdeveloped as it does not consist of a </w:t>
      </w:r>
      <w:r w:rsidR="00513049" w:rsidRPr="00F244DC">
        <w:rPr>
          <w:rFonts w:ascii="Verdana" w:hAnsi="Verdana"/>
          <w:sz w:val="20"/>
          <w:szCs w:val="20"/>
        </w:rPr>
        <w:t>substantial</w:t>
      </w:r>
      <w:r w:rsidR="003A2A10" w:rsidRPr="00F244DC">
        <w:rPr>
          <w:rFonts w:ascii="Verdana" w:hAnsi="Verdana"/>
          <w:sz w:val="20"/>
          <w:szCs w:val="20"/>
        </w:rPr>
        <w:t xml:space="preserve"> storyline. Storylines or narrative gameplay </w:t>
      </w:r>
      <w:r w:rsidR="00513049" w:rsidRPr="00F244DC">
        <w:rPr>
          <w:rFonts w:ascii="Verdana" w:hAnsi="Verdana"/>
          <w:sz w:val="20"/>
          <w:szCs w:val="20"/>
        </w:rPr>
        <w:t>are critical for fostering higher order thinking skills (Kapp, 2012)</w:t>
      </w:r>
      <w:r w:rsidR="00365EF9">
        <w:rPr>
          <w:rFonts w:ascii="Verdana" w:hAnsi="Verdana"/>
          <w:sz w:val="20"/>
          <w:szCs w:val="20"/>
        </w:rPr>
        <w:t xml:space="preserve">, which limit the </w:t>
      </w:r>
      <w:r w:rsidR="00356459">
        <w:rPr>
          <w:rFonts w:ascii="Verdana" w:hAnsi="Verdana"/>
          <w:sz w:val="20"/>
          <w:szCs w:val="20"/>
        </w:rPr>
        <w:t>opportunities</w:t>
      </w:r>
      <w:r w:rsidR="00365EF9">
        <w:rPr>
          <w:rFonts w:ascii="Verdana" w:hAnsi="Verdana"/>
          <w:sz w:val="20"/>
          <w:szCs w:val="20"/>
        </w:rPr>
        <w:t xml:space="preserve"> for authentic learning to take place</w:t>
      </w:r>
      <w:r w:rsidR="00513049" w:rsidRPr="00F244DC">
        <w:rPr>
          <w:rFonts w:ascii="Verdana" w:hAnsi="Verdana"/>
          <w:sz w:val="20"/>
          <w:szCs w:val="20"/>
        </w:rPr>
        <w:t xml:space="preserve">. </w:t>
      </w:r>
      <w:r w:rsidR="006B59AA">
        <w:rPr>
          <w:rFonts w:ascii="Verdana" w:hAnsi="Verdana"/>
          <w:sz w:val="20"/>
          <w:szCs w:val="20"/>
        </w:rPr>
        <w:t xml:space="preserve">Thus regrettably the Alchemy! design seems to act as </w:t>
      </w:r>
      <w:r w:rsidR="006B59AA" w:rsidRPr="006B59AA">
        <w:rPr>
          <w:rFonts w:ascii="Verdana" w:hAnsi="Verdana"/>
          <w:sz w:val="20"/>
          <w:szCs w:val="20"/>
        </w:rPr>
        <w:t>trivialisation of learning</w:t>
      </w:r>
      <w:r w:rsidR="006B59AA">
        <w:rPr>
          <w:rFonts w:ascii="Verdana" w:hAnsi="Verdana"/>
          <w:sz w:val="20"/>
          <w:szCs w:val="20"/>
        </w:rPr>
        <w:t xml:space="preserve"> as the learning process may be more effective using alternative means.</w:t>
      </w:r>
    </w:p>
    <w:p w:rsidR="00A61483" w:rsidRPr="006B59AA" w:rsidRDefault="00A61483" w:rsidP="00F13E31">
      <w:pPr>
        <w:spacing w:line="360" w:lineRule="auto"/>
        <w:rPr>
          <w:rFonts w:ascii="Verdana" w:hAnsi="Verdana"/>
          <w:b/>
          <w:bCs/>
          <w:sz w:val="20"/>
          <w:szCs w:val="20"/>
        </w:rPr>
      </w:pPr>
      <w:r w:rsidRPr="006B59AA">
        <w:rPr>
          <w:rFonts w:ascii="Verdana" w:hAnsi="Verdana"/>
          <w:b/>
          <w:bCs/>
          <w:sz w:val="20"/>
          <w:szCs w:val="20"/>
        </w:rPr>
        <w:t xml:space="preserve">Conclusion </w:t>
      </w:r>
    </w:p>
    <w:p w:rsidR="00A61483" w:rsidRDefault="00AA4524" w:rsidP="00AA4524">
      <w:pPr>
        <w:spacing w:line="360" w:lineRule="auto"/>
        <w:rPr>
          <w:rFonts w:ascii="Verdana" w:hAnsi="Verdana"/>
          <w:sz w:val="20"/>
          <w:szCs w:val="20"/>
        </w:rPr>
      </w:pPr>
      <w:r>
        <w:rPr>
          <w:rFonts w:ascii="Verdana" w:hAnsi="Verdana"/>
          <w:sz w:val="20"/>
          <w:szCs w:val="20"/>
        </w:rPr>
        <w:t xml:space="preserve">Designing a universal game in education is near on impossible to accomplish, with countless theories on reward structures, effective learning and knowledge development compounding the process. Also this paper has shown that educational software and </w:t>
      </w:r>
      <w:r w:rsidR="00356459">
        <w:rPr>
          <w:rFonts w:ascii="Verdana" w:hAnsi="Verdana"/>
          <w:sz w:val="20"/>
          <w:szCs w:val="20"/>
        </w:rPr>
        <w:t>technologies</w:t>
      </w:r>
      <w:r>
        <w:rPr>
          <w:rFonts w:ascii="Verdana" w:hAnsi="Verdana"/>
          <w:sz w:val="20"/>
          <w:szCs w:val="20"/>
        </w:rPr>
        <w:t xml:space="preserve"> cannot replace that value of the educational professional in the classroom no matter how innovative the designer tries to be. The main outcome however of this paper was to highlight the need for game designers to actively critique and reflect on the experience of game design and the effectiveness of their program in achieving what the designer has set to accomplish.</w:t>
      </w:r>
    </w:p>
    <w:p w:rsidR="006B59AA" w:rsidRDefault="006B59AA" w:rsidP="004F0D7B">
      <w:pPr>
        <w:spacing w:line="360" w:lineRule="auto"/>
        <w:rPr>
          <w:rFonts w:ascii="Verdana" w:hAnsi="Verdana"/>
          <w:b/>
          <w:bCs/>
          <w:sz w:val="20"/>
          <w:szCs w:val="20"/>
        </w:rPr>
      </w:pPr>
    </w:p>
    <w:p w:rsidR="006B59AA" w:rsidRDefault="006B59AA" w:rsidP="004F0D7B">
      <w:pPr>
        <w:spacing w:line="360" w:lineRule="auto"/>
        <w:rPr>
          <w:rFonts w:ascii="Verdana" w:hAnsi="Verdana"/>
          <w:b/>
          <w:bCs/>
          <w:sz w:val="20"/>
          <w:szCs w:val="20"/>
        </w:rPr>
      </w:pPr>
    </w:p>
    <w:p w:rsidR="006B59AA" w:rsidRDefault="006B59AA" w:rsidP="004F0D7B">
      <w:pPr>
        <w:spacing w:line="360" w:lineRule="auto"/>
        <w:rPr>
          <w:rFonts w:ascii="Verdana" w:hAnsi="Verdana"/>
          <w:b/>
          <w:bCs/>
          <w:sz w:val="20"/>
          <w:szCs w:val="20"/>
        </w:rPr>
      </w:pPr>
    </w:p>
    <w:p w:rsidR="006B59AA" w:rsidRPr="006B59AA" w:rsidRDefault="006B1854" w:rsidP="006B59AA">
      <w:pPr>
        <w:spacing w:line="360" w:lineRule="auto"/>
        <w:rPr>
          <w:rFonts w:ascii="Verdana" w:hAnsi="Verdana"/>
          <w:b/>
          <w:bCs/>
          <w:sz w:val="20"/>
          <w:szCs w:val="20"/>
        </w:rPr>
      </w:pPr>
      <w:r w:rsidRPr="006B59AA">
        <w:rPr>
          <w:rFonts w:ascii="Verdana" w:hAnsi="Verdana"/>
          <w:b/>
          <w:bCs/>
          <w:sz w:val="20"/>
          <w:szCs w:val="20"/>
        </w:rPr>
        <w:lastRenderedPageBreak/>
        <w:t>References</w:t>
      </w:r>
    </w:p>
    <w:p w:rsidR="006B59AA" w:rsidRPr="00F244DC" w:rsidRDefault="006B59AA" w:rsidP="004F0D7B">
      <w:pPr>
        <w:spacing w:line="360" w:lineRule="auto"/>
        <w:rPr>
          <w:rFonts w:ascii="Verdana" w:hAnsi="Verdana"/>
          <w:sz w:val="20"/>
          <w:szCs w:val="20"/>
        </w:rPr>
      </w:pPr>
      <w:r w:rsidRPr="00F244DC">
        <w:rPr>
          <w:rFonts w:ascii="Verdana" w:hAnsi="Verdana"/>
          <w:sz w:val="20"/>
          <w:szCs w:val="20"/>
        </w:rPr>
        <w:t>Apperley, T. &amp; Walsh, C. (2012), What digital games and literacy have in common: a</w:t>
      </w:r>
      <w:r w:rsidRPr="00F244DC">
        <w:rPr>
          <w:rFonts w:ascii="Verdana" w:hAnsi="Verdana"/>
          <w:sz w:val="20"/>
          <w:szCs w:val="20"/>
        </w:rPr>
        <w:tab/>
        <w:t xml:space="preserve">heuristic for understanding pupils' gaming literacy. </w:t>
      </w:r>
      <w:r w:rsidRPr="00F244DC">
        <w:rPr>
          <w:rFonts w:ascii="Verdana" w:hAnsi="Verdana"/>
          <w:i/>
          <w:iCs/>
          <w:sz w:val="20"/>
          <w:szCs w:val="20"/>
        </w:rPr>
        <w:t>Literacy</w:t>
      </w:r>
      <w:r w:rsidRPr="00F244DC">
        <w:rPr>
          <w:rFonts w:ascii="Verdana" w:hAnsi="Verdana"/>
          <w:sz w:val="20"/>
          <w:szCs w:val="20"/>
        </w:rPr>
        <w:t>, Vol.46 pp.115–122.</w:t>
      </w:r>
    </w:p>
    <w:p w:rsidR="006B59AA" w:rsidRPr="00F244DC" w:rsidRDefault="006B59AA" w:rsidP="00F13E31">
      <w:pPr>
        <w:spacing w:line="360" w:lineRule="auto"/>
        <w:rPr>
          <w:rFonts w:ascii="Verdana" w:hAnsi="Verdana"/>
          <w:sz w:val="20"/>
          <w:szCs w:val="20"/>
        </w:rPr>
      </w:pPr>
      <w:r w:rsidRPr="00F244DC">
        <w:rPr>
          <w:rFonts w:ascii="Verdana" w:hAnsi="Verdana"/>
          <w:sz w:val="20"/>
          <w:szCs w:val="20"/>
        </w:rPr>
        <w:t>Baek, Y. (2009). Digital Simulation in Teaching and Learning. In D. Gibson, &amp; Y. Baek</w:t>
      </w:r>
      <w:r w:rsidRPr="00F244DC">
        <w:rPr>
          <w:rFonts w:ascii="Verdana" w:hAnsi="Verdana"/>
          <w:sz w:val="20"/>
          <w:szCs w:val="20"/>
        </w:rPr>
        <w:tab/>
        <w:t xml:space="preserve">(Eds.), </w:t>
      </w:r>
      <w:r w:rsidRPr="00F244DC">
        <w:rPr>
          <w:rFonts w:ascii="Verdana" w:hAnsi="Verdana"/>
          <w:i/>
          <w:iCs/>
          <w:sz w:val="20"/>
          <w:szCs w:val="20"/>
        </w:rPr>
        <w:t>Digital Simulations for Improving Education: Learning Through Artificial</w:t>
      </w:r>
      <w:r w:rsidRPr="00F244DC">
        <w:rPr>
          <w:rFonts w:ascii="Verdana" w:hAnsi="Verdana"/>
          <w:i/>
          <w:iCs/>
          <w:sz w:val="20"/>
          <w:szCs w:val="20"/>
        </w:rPr>
        <w:tab/>
        <w:t>Teaching Environments</w:t>
      </w:r>
      <w:r w:rsidRPr="00F244DC">
        <w:rPr>
          <w:rFonts w:ascii="Verdana" w:hAnsi="Verdana"/>
          <w:sz w:val="20"/>
          <w:szCs w:val="20"/>
        </w:rPr>
        <w:t xml:space="preserve"> (pp. 25-51). Hershey, PA. </w:t>
      </w:r>
    </w:p>
    <w:p w:rsidR="006B59AA" w:rsidRPr="00F244DC" w:rsidRDefault="006B59AA">
      <w:pPr>
        <w:spacing w:line="360" w:lineRule="auto"/>
        <w:rPr>
          <w:rFonts w:ascii="Verdana" w:hAnsi="Verdana"/>
          <w:sz w:val="20"/>
          <w:szCs w:val="20"/>
        </w:rPr>
      </w:pPr>
      <w:r w:rsidRPr="004F0D7B">
        <w:rPr>
          <w:rFonts w:ascii="Verdana" w:hAnsi="Verdana"/>
          <w:sz w:val="20"/>
          <w:szCs w:val="20"/>
        </w:rPr>
        <w:t>Brown, M. (2008). Comfort zone: Model or metaphor</w:t>
      </w:r>
      <w:r>
        <w:rPr>
          <w:rFonts w:ascii="Verdana" w:hAnsi="Verdana"/>
          <w:sz w:val="20"/>
          <w:szCs w:val="20"/>
        </w:rPr>
        <w:t xml:space="preserve">. </w:t>
      </w:r>
      <w:r w:rsidRPr="004F0D7B">
        <w:rPr>
          <w:rFonts w:ascii="Verdana" w:hAnsi="Verdana"/>
          <w:i/>
          <w:iCs/>
          <w:sz w:val="20"/>
          <w:szCs w:val="20"/>
        </w:rPr>
        <w:t>Australian Journal of Outdoor</w:t>
      </w:r>
      <w:r w:rsidRPr="004F0D7B">
        <w:rPr>
          <w:rFonts w:ascii="Verdana" w:hAnsi="Verdana"/>
          <w:i/>
          <w:iCs/>
          <w:sz w:val="20"/>
          <w:szCs w:val="20"/>
        </w:rPr>
        <w:tab/>
        <w:t>Education</w:t>
      </w:r>
      <w:r w:rsidRPr="004F0D7B">
        <w:rPr>
          <w:rFonts w:ascii="Verdana" w:hAnsi="Verdana"/>
          <w:sz w:val="20"/>
          <w:szCs w:val="20"/>
        </w:rPr>
        <w:t xml:space="preserve">, </w:t>
      </w:r>
      <w:r>
        <w:rPr>
          <w:rFonts w:ascii="Verdana" w:hAnsi="Verdana"/>
          <w:sz w:val="20"/>
          <w:szCs w:val="20"/>
        </w:rPr>
        <w:t>Vol.12, No.1</w:t>
      </w:r>
      <w:r w:rsidRPr="004F0D7B">
        <w:rPr>
          <w:rFonts w:ascii="Verdana" w:hAnsi="Verdana"/>
          <w:sz w:val="20"/>
          <w:szCs w:val="20"/>
        </w:rPr>
        <w:t xml:space="preserve">, </w:t>
      </w:r>
      <w:r>
        <w:rPr>
          <w:rFonts w:ascii="Verdana" w:hAnsi="Verdana"/>
          <w:sz w:val="20"/>
          <w:szCs w:val="20"/>
        </w:rPr>
        <w:t xml:space="preserve">pp. </w:t>
      </w:r>
      <w:r w:rsidRPr="004F0D7B">
        <w:rPr>
          <w:rFonts w:ascii="Verdana" w:hAnsi="Verdana"/>
          <w:sz w:val="20"/>
          <w:szCs w:val="20"/>
        </w:rPr>
        <w:t>3-12.</w:t>
      </w:r>
    </w:p>
    <w:p w:rsidR="006B59AA" w:rsidRPr="00F244DC" w:rsidRDefault="006B59AA" w:rsidP="00F13E31">
      <w:pPr>
        <w:autoSpaceDE w:val="0"/>
        <w:autoSpaceDN w:val="0"/>
        <w:adjustRightInd w:val="0"/>
        <w:spacing w:after="0" w:line="360" w:lineRule="auto"/>
        <w:rPr>
          <w:rFonts w:ascii="Verdana" w:eastAsia="Calibri" w:hAnsi="Verdana" w:cs="Times New Roman"/>
          <w:sz w:val="20"/>
          <w:szCs w:val="20"/>
          <w:lang w:val="en-US"/>
        </w:rPr>
      </w:pPr>
      <w:r w:rsidRPr="00F244DC">
        <w:rPr>
          <w:rFonts w:ascii="Verdana" w:eastAsia="Calibri" w:hAnsi="Verdana" w:cs="Times New Roman"/>
          <w:iCs/>
          <w:sz w:val="20"/>
          <w:szCs w:val="20"/>
          <w:lang w:val="en-US"/>
        </w:rPr>
        <w:t xml:space="preserve">Brown, T. </w:t>
      </w:r>
      <w:r w:rsidRPr="00F244DC">
        <w:rPr>
          <w:rFonts w:ascii="Verdana" w:eastAsia="Calibri" w:hAnsi="Verdana" w:cs="Times New Roman"/>
          <w:sz w:val="20"/>
          <w:szCs w:val="20"/>
          <w:lang w:val="en-US"/>
        </w:rPr>
        <w:t xml:space="preserve">D.(2008), Movement and meaning making in physical education, </w:t>
      </w:r>
      <w:r w:rsidRPr="00F244DC">
        <w:rPr>
          <w:rFonts w:ascii="Verdana" w:eastAsia="Calibri" w:hAnsi="Verdana" w:cs="Times New Roman"/>
          <w:i/>
          <w:sz w:val="20"/>
          <w:szCs w:val="20"/>
          <w:lang w:val="en-US"/>
        </w:rPr>
        <w:t>ACHPER</w:t>
      </w:r>
      <w:r w:rsidRPr="00F244DC">
        <w:rPr>
          <w:rFonts w:ascii="Verdana" w:eastAsia="Calibri" w:hAnsi="Verdana" w:cs="Times New Roman"/>
          <w:i/>
          <w:sz w:val="20"/>
          <w:szCs w:val="20"/>
          <w:lang w:val="en-US"/>
        </w:rPr>
        <w:tab/>
        <w:t>Healthy Lifestyles Journal</w:t>
      </w:r>
      <w:r w:rsidRPr="00F244DC">
        <w:rPr>
          <w:rFonts w:ascii="Verdana" w:eastAsia="Calibri" w:hAnsi="Verdana" w:cs="Times New Roman"/>
          <w:sz w:val="20"/>
          <w:szCs w:val="20"/>
          <w:lang w:val="en-US"/>
        </w:rPr>
        <w:t xml:space="preserve"> Vol.55, No.3, pp. 5 -8</w:t>
      </w:r>
    </w:p>
    <w:p w:rsidR="006B59AA" w:rsidRPr="00F244DC" w:rsidRDefault="006B59AA" w:rsidP="00504790">
      <w:pPr>
        <w:autoSpaceDE w:val="0"/>
        <w:autoSpaceDN w:val="0"/>
        <w:adjustRightInd w:val="0"/>
        <w:spacing w:after="0" w:line="360" w:lineRule="auto"/>
        <w:rPr>
          <w:rFonts w:ascii="Verdana" w:hAnsi="Verdana" w:cs="Trebuchet MS"/>
          <w:sz w:val="20"/>
          <w:szCs w:val="20"/>
        </w:rPr>
      </w:pPr>
      <w:r w:rsidRPr="006B59AA">
        <w:rPr>
          <w:rFonts w:ascii="Verdana" w:hAnsi="Verdana" w:cs="Trebuchet MS"/>
          <w:sz w:val="20"/>
          <w:szCs w:val="20"/>
        </w:rPr>
        <w:br/>
      </w:r>
      <w:r w:rsidRPr="00365EF9">
        <w:rPr>
          <w:rFonts w:ascii="Verdana" w:hAnsi="Verdana" w:cs="Trebuchet MS"/>
          <w:sz w:val="20"/>
          <w:szCs w:val="20"/>
          <w:lang w:val="de-DE"/>
        </w:rPr>
        <w:t xml:space="preserve">Buccheri. G, Abt Gürber. N &amp; Brühwiler. </w:t>
      </w:r>
      <w:r w:rsidRPr="00F244DC">
        <w:rPr>
          <w:rFonts w:ascii="Verdana" w:hAnsi="Verdana" w:cs="Trebuchet MS"/>
          <w:sz w:val="20"/>
          <w:szCs w:val="20"/>
        </w:rPr>
        <w:t>C, (2011) The Impact of Gender on Interest in</w:t>
      </w:r>
      <w:r w:rsidRPr="00F244DC">
        <w:rPr>
          <w:rFonts w:ascii="Verdana" w:hAnsi="Verdana" w:cs="Trebuchet MS"/>
          <w:sz w:val="20"/>
          <w:szCs w:val="20"/>
        </w:rPr>
        <w:tab/>
        <w:t>Science Topics and the Choice of Scientific and Technical Vocations, International</w:t>
      </w:r>
      <w:r w:rsidRPr="00F244DC">
        <w:rPr>
          <w:rFonts w:ascii="Verdana" w:hAnsi="Verdana" w:cs="Trebuchet MS"/>
          <w:sz w:val="20"/>
          <w:szCs w:val="20"/>
        </w:rPr>
        <w:tab/>
        <w:t>Journal of Science Education, Vol.33, no.1, pp.159-178</w:t>
      </w:r>
    </w:p>
    <w:p w:rsidR="006B59AA" w:rsidRPr="00F244DC" w:rsidRDefault="006B59AA" w:rsidP="00F13E31">
      <w:pPr>
        <w:autoSpaceDE w:val="0"/>
        <w:autoSpaceDN w:val="0"/>
        <w:adjustRightInd w:val="0"/>
        <w:spacing w:after="0" w:line="360" w:lineRule="auto"/>
        <w:rPr>
          <w:rFonts w:ascii="Verdana" w:eastAsia="Times New Roman" w:hAnsi="Verdana" w:cs="Times New Roman"/>
          <w:sz w:val="20"/>
          <w:szCs w:val="20"/>
          <w:lang w:eastAsia="zh-CN"/>
        </w:rPr>
      </w:pPr>
      <w:r w:rsidRPr="00F244DC">
        <w:rPr>
          <w:rFonts w:ascii="Verdana" w:eastAsia="Times New Roman" w:hAnsi="Verdana" w:cs="Times New Roman"/>
          <w:sz w:val="20"/>
          <w:szCs w:val="20"/>
          <w:lang w:eastAsia="zh-CN"/>
        </w:rPr>
        <w:br/>
        <w:t xml:space="preserve">Cavanagh. S, (2005), </w:t>
      </w:r>
      <w:r w:rsidRPr="00F244DC">
        <w:rPr>
          <w:rFonts w:ascii="Verdana" w:eastAsia="Times New Roman" w:hAnsi="Verdana" w:cs="Times New Roman"/>
          <w:bCs/>
          <w:sz w:val="20"/>
          <w:szCs w:val="20"/>
          <w:lang w:eastAsia="zh-CN"/>
        </w:rPr>
        <w:t>Educators Revisit Girls' Loss of Math, Science Interest</w:t>
      </w:r>
      <w:r w:rsidRPr="00F244DC">
        <w:rPr>
          <w:rFonts w:ascii="Verdana" w:eastAsia="Times New Roman" w:hAnsi="Verdana" w:cs="Times New Roman"/>
          <w:sz w:val="20"/>
          <w:szCs w:val="20"/>
          <w:lang w:eastAsia="zh-CN"/>
        </w:rPr>
        <w:t xml:space="preserve">, </w:t>
      </w:r>
      <w:r w:rsidRPr="00F244DC">
        <w:rPr>
          <w:rFonts w:ascii="Verdana" w:eastAsia="Times New Roman" w:hAnsi="Verdana" w:cs="Times New Roman"/>
          <w:i/>
          <w:iCs/>
          <w:sz w:val="20"/>
          <w:szCs w:val="20"/>
          <w:lang w:eastAsia="zh-CN"/>
        </w:rPr>
        <w:t>Education</w:t>
      </w:r>
      <w:r w:rsidRPr="00F244DC">
        <w:rPr>
          <w:rFonts w:ascii="Verdana" w:eastAsia="Times New Roman" w:hAnsi="Verdana" w:cs="Times New Roman"/>
          <w:i/>
          <w:iCs/>
          <w:sz w:val="20"/>
          <w:szCs w:val="20"/>
          <w:lang w:eastAsia="zh-CN"/>
        </w:rPr>
        <w:tab/>
        <w:t>Week;</w:t>
      </w:r>
      <w:r w:rsidRPr="00F244DC">
        <w:rPr>
          <w:rFonts w:ascii="Verdana" w:eastAsia="Times New Roman" w:hAnsi="Verdana" w:cs="Times New Roman"/>
          <w:sz w:val="20"/>
          <w:szCs w:val="20"/>
          <w:lang w:eastAsia="zh-CN"/>
        </w:rPr>
        <w:t xml:space="preserve"> Vol.24, No.34; Pg. 6</w:t>
      </w:r>
    </w:p>
    <w:p w:rsidR="006B59AA" w:rsidRPr="00F244DC" w:rsidRDefault="006B59AA" w:rsidP="00F13E31">
      <w:pPr>
        <w:autoSpaceDE w:val="0"/>
        <w:autoSpaceDN w:val="0"/>
        <w:adjustRightInd w:val="0"/>
        <w:spacing w:after="0" w:line="360" w:lineRule="auto"/>
        <w:rPr>
          <w:rFonts w:ascii="Verdana" w:eastAsia="Times New Roman" w:hAnsi="Verdana" w:cs="Times New Roman"/>
          <w:sz w:val="20"/>
          <w:szCs w:val="20"/>
          <w:lang w:eastAsia="zh-CN"/>
        </w:rPr>
      </w:pPr>
      <w:r>
        <w:rPr>
          <w:rFonts w:ascii="Verdana" w:eastAsia="Times New Roman" w:hAnsi="Verdana" w:cs="Arial"/>
          <w:sz w:val="20"/>
          <w:szCs w:val="20"/>
          <w:lang w:eastAsia="zh-CN"/>
        </w:rPr>
        <w:br/>
      </w:r>
      <w:r w:rsidRPr="00F244DC">
        <w:rPr>
          <w:rFonts w:ascii="Verdana" w:eastAsia="Times New Roman" w:hAnsi="Verdana" w:cs="Arial"/>
          <w:sz w:val="20"/>
          <w:szCs w:val="20"/>
          <w:lang w:eastAsia="zh-CN"/>
        </w:rPr>
        <w:t xml:space="preserve">Consalvo, M. (2009). There is no magic circle. </w:t>
      </w:r>
      <w:r w:rsidRPr="00F244DC">
        <w:rPr>
          <w:rFonts w:ascii="Verdana" w:eastAsia="Times New Roman" w:hAnsi="Verdana" w:cs="Arial"/>
          <w:i/>
          <w:iCs/>
          <w:sz w:val="20"/>
          <w:szCs w:val="20"/>
          <w:lang w:eastAsia="zh-CN"/>
        </w:rPr>
        <w:t>Games and Culture</w:t>
      </w:r>
      <w:r w:rsidRPr="00F244DC">
        <w:rPr>
          <w:rFonts w:ascii="Verdana" w:eastAsia="Times New Roman" w:hAnsi="Verdana" w:cs="Arial"/>
          <w:sz w:val="20"/>
          <w:szCs w:val="20"/>
          <w:lang w:eastAsia="zh-CN"/>
        </w:rPr>
        <w:t>, Vol.</w:t>
      </w:r>
      <w:r w:rsidRPr="00F244DC">
        <w:rPr>
          <w:rFonts w:ascii="Verdana" w:eastAsia="Times New Roman" w:hAnsi="Verdana" w:cs="Arial"/>
          <w:iCs/>
          <w:sz w:val="20"/>
          <w:szCs w:val="20"/>
          <w:lang w:eastAsia="zh-CN"/>
        </w:rPr>
        <w:tab/>
        <w:t>4</w:t>
      </w:r>
      <w:r w:rsidRPr="00F244DC">
        <w:rPr>
          <w:rFonts w:ascii="Verdana" w:eastAsia="Times New Roman" w:hAnsi="Verdana" w:cs="Arial"/>
          <w:sz w:val="20"/>
          <w:szCs w:val="20"/>
          <w:lang w:eastAsia="zh-CN"/>
        </w:rPr>
        <w:t xml:space="preserve">, No.4, </w:t>
      </w:r>
      <w:r w:rsidRPr="00F244DC">
        <w:rPr>
          <w:rFonts w:ascii="Verdana" w:eastAsia="Times New Roman" w:hAnsi="Verdana" w:cs="Arial"/>
          <w:sz w:val="20"/>
          <w:szCs w:val="20"/>
          <w:lang w:eastAsia="zh-CN"/>
        </w:rPr>
        <w:tab/>
        <w:t>pp.408-417.</w:t>
      </w:r>
    </w:p>
    <w:p w:rsidR="006B59AA" w:rsidRPr="00F244DC" w:rsidRDefault="006B59AA" w:rsidP="00F13E31">
      <w:pPr>
        <w:autoSpaceDE w:val="0"/>
        <w:autoSpaceDN w:val="0"/>
        <w:adjustRightInd w:val="0"/>
        <w:spacing w:after="0" w:line="360" w:lineRule="auto"/>
        <w:rPr>
          <w:rFonts w:ascii="Verdana" w:eastAsia="Times New Roman" w:hAnsi="Verdana" w:cs="Times New Roman"/>
          <w:bCs/>
          <w:sz w:val="20"/>
          <w:szCs w:val="20"/>
          <w:lang w:eastAsia="zh-CN"/>
        </w:rPr>
      </w:pPr>
      <w:r>
        <w:rPr>
          <w:rFonts w:ascii="Verdana" w:eastAsia="Times New Roman" w:hAnsi="Verdana" w:cs="Arial"/>
          <w:sz w:val="20"/>
          <w:szCs w:val="20"/>
          <w:lang w:eastAsia="zh-CN"/>
        </w:rPr>
        <w:br/>
      </w:r>
      <w:r w:rsidRPr="00F244DC">
        <w:rPr>
          <w:rFonts w:ascii="Verdana" w:eastAsia="Times New Roman" w:hAnsi="Verdana" w:cs="Arial"/>
          <w:sz w:val="20"/>
          <w:szCs w:val="20"/>
          <w:lang w:eastAsia="zh-CN"/>
        </w:rPr>
        <w:t>Cox.</w:t>
      </w:r>
      <w:r w:rsidRPr="00F244DC">
        <w:rPr>
          <w:rFonts w:ascii="Verdana" w:eastAsia="Times New Roman" w:hAnsi="Verdana" w:cs="Times New Roman"/>
          <w:sz w:val="20"/>
          <w:szCs w:val="20"/>
          <w:lang w:eastAsia="zh-CN"/>
        </w:rPr>
        <w:t xml:space="preserve"> P. J.</w:t>
      </w:r>
      <w:r w:rsidRPr="00F244DC">
        <w:rPr>
          <w:rFonts w:ascii="Verdana" w:eastAsia="Times New Roman" w:hAnsi="Verdana" w:cs="Arial"/>
          <w:sz w:val="20"/>
          <w:szCs w:val="20"/>
          <w:lang w:eastAsia="zh-CN"/>
        </w:rPr>
        <w:t xml:space="preserve">, </w:t>
      </w:r>
      <w:r w:rsidRPr="00F244DC">
        <w:rPr>
          <w:rFonts w:ascii="Verdana" w:eastAsia="Times New Roman" w:hAnsi="Verdana" w:cs="Times New Roman"/>
          <w:sz w:val="20"/>
          <w:szCs w:val="20"/>
          <w:lang w:eastAsia="zh-CN"/>
        </w:rPr>
        <w:t xml:space="preserve">Leder. G. </w:t>
      </w:r>
      <w:r w:rsidRPr="00F244DC">
        <w:rPr>
          <w:rFonts w:ascii="Verdana" w:eastAsia="Times New Roman" w:hAnsi="Verdana" w:cs="Arial"/>
          <w:sz w:val="20"/>
          <w:szCs w:val="20"/>
          <w:lang w:eastAsia="zh-CN"/>
        </w:rPr>
        <w:t xml:space="preserve">C. &amp; </w:t>
      </w:r>
      <w:r w:rsidRPr="00F244DC">
        <w:rPr>
          <w:rFonts w:ascii="Verdana" w:eastAsia="Times New Roman" w:hAnsi="Verdana" w:cs="Times New Roman"/>
          <w:sz w:val="20"/>
          <w:szCs w:val="20"/>
          <w:lang w:eastAsia="zh-CN"/>
        </w:rPr>
        <w:t>Forgasz. H. J.</w:t>
      </w:r>
      <w:r w:rsidRPr="00F244DC">
        <w:rPr>
          <w:rFonts w:ascii="Verdana" w:eastAsia="Times New Roman" w:hAnsi="Verdana" w:cs="Times New Roman"/>
          <w:bCs/>
          <w:sz w:val="20"/>
          <w:szCs w:val="20"/>
          <w:lang w:eastAsia="zh-CN"/>
        </w:rPr>
        <w:t xml:space="preserve"> (</w:t>
      </w:r>
      <w:r w:rsidRPr="00F244DC">
        <w:rPr>
          <w:rFonts w:ascii="Verdana" w:eastAsia="Times New Roman" w:hAnsi="Verdana" w:cs="Arial"/>
          <w:iCs/>
          <w:sz w:val="20"/>
          <w:szCs w:val="20"/>
          <w:lang w:eastAsia="zh-CN"/>
        </w:rPr>
        <w:t>2004)</w:t>
      </w:r>
      <w:r w:rsidRPr="00F244DC">
        <w:rPr>
          <w:rFonts w:ascii="Verdana" w:eastAsia="Times New Roman" w:hAnsi="Verdana" w:cs="Times New Roman"/>
          <w:bCs/>
          <w:sz w:val="20"/>
          <w:szCs w:val="20"/>
          <w:lang w:eastAsia="zh-CN"/>
        </w:rPr>
        <w:t xml:space="preserve"> Victorian Certificate of Education:</w:t>
      </w:r>
      <w:r w:rsidRPr="00F244DC">
        <w:rPr>
          <w:rFonts w:ascii="Verdana" w:eastAsia="Times New Roman" w:hAnsi="Verdana" w:cs="Times New Roman"/>
          <w:bCs/>
          <w:sz w:val="20"/>
          <w:szCs w:val="20"/>
          <w:lang w:eastAsia="zh-CN"/>
        </w:rPr>
        <w:tab/>
        <w:t>Mathematics, science and gender</w:t>
      </w:r>
      <w:r w:rsidRPr="00F244DC">
        <w:rPr>
          <w:rFonts w:ascii="Verdana" w:eastAsia="Times New Roman" w:hAnsi="Verdana" w:cs="Arial"/>
          <w:i/>
          <w:iCs/>
          <w:sz w:val="20"/>
          <w:szCs w:val="20"/>
          <w:lang w:eastAsia="zh-CN"/>
        </w:rPr>
        <w:t xml:space="preserve"> Australian Journal </w:t>
      </w:r>
      <w:r w:rsidRPr="00F244DC">
        <w:rPr>
          <w:rFonts w:ascii="Verdana" w:eastAsia="Times New Roman" w:hAnsi="Verdana" w:cs="Times New Roman"/>
          <w:i/>
          <w:sz w:val="20"/>
          <w:szCs w:val="20"/>
          <w:lang w:eastAsia="zh-CN"/>
        </w:rPr>
        <w:t>of Education</w:t>
      </w:r>
      <w:r w:rsidRPr="00F244DC">
        <w:rPr>
          <w:rFonts w:ascii="Verdana" w:eastAsia="Times New Roman" w:hAnsi="Verdana" w:cs="Times New Roman"/>
          <w:sz w:val="20"/>
          <w:szCs w:val="20"/>
          <w:lang w:eastAsia="zh-CN"/>
        </w:rPr>
        <w:t xml:space="preserve">, </w:t>
      </w:r>
      <w:r w:rsidRPr="00F244DC">
        <w:rPr>
          <w:rFonts w:ascii="Verdana" w:eastAsia="Times New Roman" w:hAnsi="Verdana" w:cs="Arial"/>
          <w:iCs/>
          <w:sz w:val="20"/>
          <w:szCs w:val="20"/>
          <w:lang w:eastAsia="zh-CN"/>
        </w:rPr>
        <w:t xml:space="preserve">Vol. </w:t>
      </w:r>
      <w:r w:rsidRPr="00F244DC">
        <w:rPr>
          <w:rFonts w:ascii="Verdana" w:eastAsia="Times New Roman" w:hAnsi="Verdana" w:cs="Times New Roman"/>
          <w:sz w:val="20"/>
          <w:szCs w:val="20"/>
          <w:lang w:eastAsia="zh-CN"/>
        </w:rPr>
        <w:t>48, No. I,</w:t>
      </w:r>
      <w:r w:rsidRPr="00F244DC">
        <w:rPr>
          <w:rFonts w:ascii="Verdana" w:eastAsia="Times New Roman" w:hAnsi="Verdana" w:cs="Times New Roman"/>
          <w:sz w:val="20"/>
          <w:szCs w:val="20"/>
          <w:lang w:eastAsia="zh-CN"/>
        </w:rPr>
        <w:tab/>
        <w:t>pg.,</w:t>
      </w:r>
      <w:r w:rsidRPr="00F244DC">
        <w:rPr>
          <w:rFonts w:ascii="Verdana" w:eastAsia="Times New Roman" w:hAnsi="Verdana" w:cs="Arial"/>
          <w:iCs/>
          <w:sz w:val="20"/>
          <w:szCs w:val="20"/>
          <w:lang w:eastAsia="zh-CN"/>
        </w:rPr>
        <w:t xml:space="preserve"> </w:t>
      </w:r>
      <w:r w:rsidRPr="00F244DC">
        <w:rPr>
          <w:rFonts w:ascii="Verdana" w:eastAsia="Times New Roman" w:hAnsi="Verdana" w:cs="Times New Roman"/>
          <w:sz w:val="20"/>
          <w:szCs w:val="20"/>
          <w:lang w:eastAsia="zh-CN"/>
        </w:rPr>
        <w:t>27-46</w:t>
      </w:r>
    </w:p>
    <w:p w:rsidR="006B59AA" w:rsidRPr="00F244DC" w:rsidRDefault="006B59AA" w:rsidP="00F13E31">
      <w:pPr>
        <w:autoSpaceDE w:val="0"/>
        <w:autoSpaceDN w:val="0"/>
        <w:adjustRightInd w:val="0"/>
        <w:spacing w:after="0" w:line="360" w:lineRule="auto"/>
        <w:rPr>
          <w:rFonts w:ascii="Verdana" w:eastAsia="Times New Roman" w:hAnsi="Verdana" w:cs="Arial"/>
          <w:sz w:val="20"/>
          <w:szCs w:val="20"/>
          <w:lang w:eastAsia="zh-CN"/>
        </w:rPr>
      </w:pPr>
      <w:r>
        <w:rPr>
          <w:rFonts w:ascii="Verdana" w:eastAsia="Times New Roman" w:hAnsi="Verdana" w:cs="Times New Roman"/>
          <w:iCs/>
          <w:sz w:val="20"/>
          <w:szCs w:val="20"/>
          <w:lang w:eastAsia="zh-CN"/>
        </w:rPr>
        <w:br/>
      </w:r>
      <w:r w:rsidRPr="00F244DC">
        <w:rPr>
          <w:rFonts w:ascii="Verdana" w:eastAsia="Times New Roman" w:hAnsi="Verdana" w:cs="Times New Roman"/>
          <w:iCs/>
          <w:sz w:val="20"/>
          <w:szCs w:val="20"/>
          <w:lang w:eastAsia="zh-CN"/>
        </w:rPr>
        <w:t>Craig. A, (</w:t>
      </w:r>
      <w:r w:rsidRPr="00F244DC">
        <w:rPr>
          <w:rFonts w:ascii="Verdana" w:eastAsia="Times New Roman" w:hAnsi="Verdana" w:cs="Arial"/>
          <w:sz w:val="20"/>
          <w:szCs w:val="20"/>
          <w:lang w:eastAsia="zh-CN"/>
        </w:rPr>
        <w:t xml:space="preserve">2005), </w:t>
      </w:r>
      <w:r w:rsidRPr="00F244DC">
        <w:rPr>
          <w:rFonts w:ascii="Verdana" w:eastAsia="Times New Roman" w:hAnsi="Verdana" w:cs="Arial"/>
          <w:bCs/>
          <w:sz w:val="20"/>
          <w:szCs w:val="20"/>
          <w:lang w:eastAsia="zh-CN"/>
        </w:rPr>
        <w:t xml:space="preserve">Girls Not Choosing Computing: Causes and Effects, </w:t>
      </w:r>
      <w:r w:rsidRPr="00F244DC">
        <w:rPr>
          <w:rFonts w:ascii="Verdana" w:eastAsia="Times New Roman" w:hAnsi="Verdana" w:cs="Arial"/>
          <w:i/>
          <w:sz w:val="20"/>
          <w:szCs w:val="20"/>
          <w:lang w:eastAsia="zh-CN"/>
        </w:rPr>
        <w:t xml:space="preserve">Redress, </w:t>
      </w:r>
      <w:r w:rsidRPr="00F244DC">
        <w:rPr>
          <w:rFonts w:ascii="Verdana" w:eastAsia="Times New Roman" w:hAnsi="Verdana" w:cs="Arial"/>
          <w:sz w:val="20"/>
          <w:szCs w:val="20"/>
          <w:lang w:eastAsia="zh-CN"/>
        </w:rPr>
        <w:t>Pg.2-7</w:t>
      </w:r>
    </w:p>
    <w:p w:rsidR="006B59AA" w:rsidRPr="00F244DC" w:rsidRDefault="006B59AA" w:rsidP="00F13E31">
      <w:pPr>
        <w:spacing w:line="360" w:lineRule="auto"/>
        <w:rPr>
          <w:rFonts w:ascii="Verdana" w:hAnsi="Verdana"/>
          <w:sz w:val="20"/>
          <w:szCs w:val="20"/>
        </w:rPr>
      </w:pPr>
      <w:r w:rsidRPr="00F244DC">
        <w:rPr>
          <w:rFonts w:ascii="Verdana" w:hAnsi="Verdana"/>
          <w:sz w:val="20"/>
          <w:szCs w:val="20"/>
        </w:rPr>
        <w:br/>
        <w:t>Csikszentmihalyi, M. (1975). Beyond boredom and anxiety: Experiencing flow in work</w:t>
      </w:r>
      <w:r w:rsidRPr="00F244DC">
        <w:rPr>
          <w:rFonts w:ascii="Verdana" w:hAnsi="Verdana"/>
          <w:sz w:val="20"/>
          <w:szCs w:val="20"/>
        </w:rPr>
        <w:tab/>
        <w:t>and play. San Francisco, CA: Josscy-Bass.</w:t>
      </w:r>
    </w:p>
    <w:p w:rsidR="006B59AA" w:rsidRPr="00F244DC" w:rsidRDefault="006B59AA" w:rsidP="00F13E31">
      <w:pPr>
        <w:spacing w:line="360" w:lineRule="auto"/>
        <w:rPr>
          <w:rFonts w:ascii="Verdana" w:hAnsi="Verdana"/>
          <w:sz w:val="20"/>
          <w:szCs w:val="20"/>
        </w:rPr>
      </w:pPr>
      <w:r w:rsidRPr="00F244DC">
        <w:rPr>
          <w:rFonts w:ascii="Verdana" w:hAnsi="Verdana"/>
          <w:sz w:val="20"/>
          <w:szCs w:val="20"/>
        </w:rPr>
        <w:t>Dewey, J. (1938/1997). Criteria of experience, Experience and education. Macmillan</w:t>
      </w:r>
    </w:p>
    <w:p w:rsidR="006B59AA" w:rsidRPr="00F244DC" w:rsidRDefault="006B59AA" w:rsidP="00F13E31">
      <w:pPr>
        <w:spacing w:line="360" w:lineRule="auto"/>
        <w:rPr>
          <w:rFonts w:ascii="Verdana" w:hAnsi="Verdana"/>
          <w:sz w:val="20"/>
          <w:szCs w:val="20"/>
          <w:lang w:val="en-US"/>
        </w:rPr>
      </w:pPr>
      <w:r w:rsidRPr="00F244DC">
        <w:rPr>
          <w:rFonts w:ascii="Verdana" w:hAnsi="Verdana"/>
          <w:sz w:val="20"/>
          <w:szCs w:val="20"/>
          <w:lang w:val="en-US"/>
        </w:rPr>
        <w:t xml:space="preserve">Gee, J. P. (1991) 'What is literacy?' in C. Mitchell and K. Weiler (eds.) </w:t>
      </w:r>
      <w:r w:rsidRPr="00F244DC">
        <w:rPr>
          <w:rFonts w:ascii="Verdana" w:hAnsi="Verdana"/>
          <w:i/>
          <w:iCs/>
          <w:sz w:val="20"/>
          <w:szCs w:val="20"/>
          <w:lang w:val="en-US"/>
        </w:rPr>
        <w:t>Rewriting</w:t>
      </w:r>
      <w:r w:rsidRPr="00F244DC">
        <w:rPr>
          <w:rFonts w:ascii="Verdana" w:hAnsi="Verdana"/>
          <w:i/>
          <w:iCs/>
          <w:sz w:val="20"/>
          <w:szCs w:val="20"/>
          <w:lang w:val="en-US"/>
        </w:rPr>
        <w:tab/>
        <w:t>literacy: culture and the discourse of the other</w:t>
      </w:r>
      <w:r w:rsidRPr="00F244DC">
        <w:rPr>
          <w:rFonts w:ascii="Verdana" w:hAnsi="Verdana"/>
          <w:sz w:val="20"/>
          <w:szCs w:val="20"/>
          <w:lang w:val="en-US"/>
        </w:rPr>
        <w:t>, New York: Bergin and Garvey,</w:t>
      </w:r>
      <w:r w:rsidRPr="00F244DC">
        <w:rPr>
          <w:rFonts w:ascii="Verdana" w:hAnsi="Verdana"/>
          <w:sz w:val="20"/>
          <w:szCs w:val="20"/>
          <w:lang w:val="en-US"/>
        </w:rPr>
        <w:tab/>
      </w:r>
      <w:r w:rsidRPr="00F244DC">
        <w:rPr>
          <w:rFonts w:ascii="Verdana" w:hAnsi="Verdana"/>
          <w:sz w:val="20"/>
          <w:szCs w:val="20"/>
          <w:lang w:val="en-US"/>
        </w:rPr>
        <w:tab/>
        <w:t>pp. 3-11</w:t>
      </w:r>
    </w:p>
    <w:p w:rsidR="006B59AA" w:rsidRDefault="006B59AA" w:rsidP="001201A2">
      <w:pPr>
        <w:autoSpaceDE w:val="0"/>
        <w:autoSpaceDN w:val="0"/>
        <w:adjustRightInd w:val="0"/>
        <w:spacing w:after="0" w:line="360" w:lineRule="auto"/>
        <w:rPr>
          <w:rFonts w:ascii="Verdana" w:hAnsi="Verdana"/>
          <w:i/>
          <w:iCs/>
          <w:sz w:val="20"/>
          <w:szCs w:val="20"/>
        </w:rPr>
      </w:pPr>
      <w:r w:rsidRPr="001201A2">
        <w:rPr>
          <w:rFonts w:ascii="Verdana" w:hAnsi="Verdana"/>
          <w:sz w:val="20"/>
          <w:szCs w:val="20"/>
        </w:rPr>
        <w:lastRenderedPageBreak/>
        <w:t xml:space="preserve">Gee, J. P. (2003). What video games have to teach </w:t>
      </w:r>
      <w:r>
        <w:rPr>
          <w:rFonts w:ascii="Verdana" w:hAnsi="Verdana"/>
          <w:sz w:val="20"/>
          <w:szCs w:val="20"/>
        </w:rPr>
        <w:t>us about learning and literacy.</w:t>
      </w:r>
      <w:r>
        <w:rPr>
          <w:rFonts w:ascii="Verdana" w:hAnsi="Verdana"/>
          <w:sz w:val="20"/>
          <w:szCs w:val="20"/>
        </w:rPr>
        <w:tab/>
      </w:r>
      <w:r w:rsidRPr="001201A2">
        <w:rPr>
          <w:rFonts w:ascii="Verdana" w:hAnsi="Verdana"/>
          <w:sz w:val="20"/>
          <w:szCs w:val="20"/>
        </w:rPr>
        <w:t>Palgrave Macmillan</w:t>
      </w:r>
      <w:r>
        <w:rPr>
          <w:rFonts w:ascii="Verdana" w:hAnsi="Verdana"/>
          <w:i/>
          <w:iCs/>
          <w:sz w:val="20"/>
          <w:szCs w:val="20"/>
        </w:rPr>
        <w:t xml:space="preserve"> </w:t>
      </w:r>
    </w:p>
    <w:p w:rsidR="006B59AA" w:rsidRDefault="006B59AA" w:rsidP="001201A2">
      <w:pPr>
        <w:autoSpaceDE w:val="0"/>
        <w:autoSpaceDN w:val="0"/>
        <w:adjustRightInd w:val="0"/>
        <w:spacing w:after="0" w:line="360" w:lineRule="auto"/>
        <w:rPr>
          <w:rFonts w:ascii="Verdana" w:hAnsi="Verdana"/>
          <w:sz w:val="20"/>
          <w:szCs w:val="20"/>
        </w:rPr>
      </w:pPr>
      <w:r>
        <w:rPr>
          <w:rFonts w:ascii="Verdana" w:hAnsi="Verdana"/>
          <w:sz w:val="20"/>
          <w:szCs w:val="20"/>
        </w:rPr>
        <w:br/>
      </w:r>
      <w:r w:rsidRPr="001201A2">
        <w:rPr>
          <w:rFonts w:ascii="Verdana" w:hAnsi="Verdana"/>
          <w:sz w:val="20"/>
          <w:szCs w:val="20"/>
        </w:rPr>
        <w:t>Harasim, L. (201</w:t>
      </w:r>
      <w:r>
        <w:rPr>
          <w:rFonts w:ascii="Verdana" w:hAnsi="Verdana"/>
          <w:sz w:val="20"/>
          <w:szCs w:val="20"/>
        </w:rPr>
        <w:t>2</w:t>
      </w:r>
      <w:r w:rsidRPr="001201A2">
        <w:rPr>
          <w:rFonts w:ascii="Verdana" w:hAnsi="Verdana"/>
          <w:sz w:val="20"/>
          <w:szCs w:val="20"/>
        </w:rPr>
        <w:t xml:space="preserve">). </w:t>
      </w:r>
      <w:r w:rsidRPr="001201A2">
        <w:rPr>
          <w:rFonts w:ascii="Verdana" w:hAnsi="Verdana"/>
          <w:i/>
          <w:iCs/>
          <w:sz w:val="20"/>
          <w:szCs w:val="20"/>
        </w:rPr>
        <w:t>Learning Theory and Online Technologies</w:t>
      </w:r>
      <w:r>
        <w:rPr>
          <w:rFonts w:ascii="Verdana" w:hAnsi="Verdana"/>
          <w:sz w:val="20"/>
          <w:szCs w:val="20"/>
        </w:rPr>
        <w:t>. Routledge, Taylor &amp;</w:t>
      </w:r>
      <w:r>
        <w:rPr>
          <w:rFonts w:ascii="Verdana" w:hAnsi="Verdana"/>
          <w:sz w:val="20"/>
          <w:szCs w:val="20"/>
        </w:rPr>
        <w:tab/>
      </w:r>
      <w:r w:rsidRPr="001201A2">
        <w:rPr>
          <w:rFonts w:ascii="Verdana" w:hAnsi="Verdana"/>
          <w:sz w:val="20"/>
          <w:szCs w:val="20"/>
        </w:rPr>
        <w:t>Francis Group. 7625 Empire Drive, Florence, KY 41042.</w:t>
      </w:r>
    </w:p>
    <w:p w:rsidR="006B59AA" w:rsidRPr="00F244DC" w:rsidRDefault="006B59AA" w:rsidP="00F13E31">
      <w:pPr>
        <w:spacing w:line="360" w:lineRule="auto"/>
        <w:rPr>
          <w:rFonts w:ascii="Verdana" w:hAnsi="Verdana"/>
          <w:sz w:val="20"/>
          <w:szCs w:val="20"/>
        </w:rPr>
      </w:pPr>
      <w:r w:rsidRPr="00F244DC">
        <w:rPr>
          <w:rFonts w:ascii="Verdana" w:hAnsi="Verdana"/>
          <w:sz w:val="20"/>
          <w:szCs w:val="20"/>
        </w:rPr>
        <w:br/>
      </w:r>
      <w:hyperlink r:id="rId13" w:history="1">
        <w:r w:rsidRPr="00F244DC">
          <w:rPr>
            <w:rStyle w:val="Hyperlink"/>
            <w:rFonts w:ascii="Verdana" w:hAnsi="Verdana"/>
            <w:color w:val="auto"/>
            <w:sz w:val="20"/>
            <w:szCs w:val="20"/>
          </w:rPr>
          <w:t>http://www.123rf.com/photo_13097502_3d-model-of-water-molecule.html Accessed</w:t>
        </w:r>
        <w:r w:rsidRPr="00F244DC">
          <w:rPr>
            <w:rStyle w:val="Hyperlink"/>
            <w:rFonts w:ascii="Verdana" w:hAnsi="Verdana"/>
            <w:color w:val="auto"/>
            <w:sz w:val="20"/>
            <w:szCs w:val="20"/>
          </w:rPr>
          <w:tab/>
          <w:t>16/10/13</w:t>
        </w:r>
      </w:hyperlink>
    </w:p>
    <w:p w:rsidR="006B59AA" w:rsidRPr="00F244DC" w:rsidRDefault="006B59AA" w:rsidP="00F13E31">
      <w:pPr>
        <w:spacing w:line="360" w:lineRule="auto"/>
        <w:rPr>
          <w:rFonts w:ascii="Verdana" w:hAnsi="Verdana"/>
          <w:sz w:val="20"/>
          <w:szCs w:val="20"/>
        </w:rPr>
      </w:pPr>
      <w:r w:rsidRPr="00F244DC">
        <w:rPr>
          <w:rFonts w:ascii="Verdana" w:hAnsi="Verdana"/>
          <w:sz w:val="20"/>
          <w:szCs w:val="20"/>
        </w:rPr>
        <w:t>Juul, J. (2005). Half-real: Video games between real rules and fictional worlds.</w:t>
      </w:r>
      <w:r>
        <w:rPr>
          <w:rFonts w:ascii="Verdana" w:hAnsi="Verdana"/>
          <w:sz w:val="20"/>
          <w:szCs w:val="20"/>
        </w:rPr>
        <w:t xml:space="preserve"> MIT Press</w:t>
      </w:r>
    </w:p>
    <w:p w:rsidR="006B59AA" w:rsidRPr="001201A2" w:rsidRDefault="006B59AA" w:rsidP="001201A2">
      <w:pPr>
        <w:autoSpaceDE w:val="0"/>
        <w:autoSpaceDN w:val="0"/>
        <w:adjustRightInd w:val="0"/>
        <w:spacing w:after="0" w:line="360" w:lineRule="auto"/>
        <w:rPr>
          <w:rFonts w:ascii="Verdana" w:hAnsi="Verdana"/>
          <w:sz w:val="20"/>
          <w:szCs w:val="20"/>
        </w:rPr>
      </w:pPr>
      <w:r>
        <w:rPr>
          <w:rFonts w:ascii="Verdana" w:hAnsi="Verdana"/>
          <w:sz w:val="20"/>
          <w:szCs w:val="20"/>
          <w:lang w:val="en"/>
        </w:rPr>
        <w:br/>
      </w:r>
      <w:r w:rsidRPr="001201A2">
        <w:rPr>
          <w:rFonts w:ascii="Verdana" w:hAnsi="Verdana"/>
          <w:sz w:val="20"/>
          <w:szCs w:val="20"/>
          <w:lang w:val="en"/>
        </w:rPr>
        <w:t>Kapp, K. M. (2012). The gamification of learning and</w:t>
      </w:r>
      <w:r>
        <w:rPr>
          <w:rFonts w:ascii="Verdana" w:hAnsi="Verdana"/>
          <w:sz w:val="20"/>
          <w:szCs w:val="20"/>
          <w:lang w:val="en"/>
        </w:rPr>
        <w:t xml:space="preserve"> instruction game-based methods</w:t>
      </w:r>
      <w:r>
        <w:rPr>
          <w:rFonts w:ascii="Verdana" w:hAnsi="Verdana"/>
          <w:sz w:val="20"/>
          <w:szCs w:val="20"/>
          <w:lang w:val="en"/>
        </w:rPr>
        <w:tab/>
      </w:r>
      <w:r w:rsidRPr="001201A2">
        <w:rPr>
          <w:rFonts w:ascii="Verdana" w:hAnsi="Verdana"/>
          <w:sz w:val="20"/>
          <w:szCs w:val="20"/>
          <w:lang w:val="en"/>
        </w:rPr>
        <w:t>and strategies for training and education. San Francisco: Pfeiffer</w:t>
      </w:r>
    </w:p>
    <w:p w:rsidR="006B59AA" w:rsidRDefault="006B59AA">
      <w:pPr>
        <w:spacing w:line="360" w:lineRule="auto"/>
        <w:rPr>
          <w:rFonts w:ascii="Verdana" w:hAnsi="Verdana"/>
          <w:sz w:val="20"/>
          <w:szCs w:val="20"/>
        </w:rPr>
      </w:pPr>
      <w:r>
        <w:rPr>
          <w:rFonts w:ascii="Verdana" w:hAnsi="Verdana"/>
          <w:sz w:val="20"/>
          <w:szCs w:val="20"/>
        </w:rPr>
        <w:br/>
      </w:r>
      <w:r w:rsidRPr="00C809B7">
        <w:rPr>
          <w:rFonts w:ascii="Verdana" w:hAnsi="Verdana"/>
          <w:sz w:val="20"/>
          <w:szCs w:val="20"/>
        </w:rPr>
        <w:t>Kiili, K. (2005). Digital game-based learning: Toward</w:t>
      </w:r>
      <w:r>
        <w:rPr>
          <w:rFonts w:ascii="Verdana" w:hAnsi="Verdana"/>
          <w:sz w:val="20"/>
          <w:szCs w:val="20"/>
        </w:rPr>
        <w:t>s an experiential gaming model.</w:t>
      </w:r>
      <w:r>
        <w:rPr>
          <w:rFonts w:ascii="Verdana" w:hAnsi="Verdana"/>
          <w:sz w:val="20"/>
          <w:szCs w:val="20"/>
        </w:rPr>
        <w:tab/>
      </w:r>
      <w:r>
        <w:rPr>
          <w:rFonts w:ascii="Verdana" w:hAnsi="Verdana"/>
          <w:sz w:val="20"/>
          <w:szCs w:val="20"/>
        </w:rPr>
        <w:tab/>
      </w:r>
      <w:r w:rsidRPr="00C809B7">
        <w:rPr>
          <w:rFonts w:ascii="Verdana" w:hAnsi="Verdana"/>
          <w:i/>
          <w:iCs/>
          <w:sz w:val="20"/>
          <w:szCs w:val="20"/>
        </w:rPr>
        <w:t>The Internet and higher education</w:t>
      </w:r>
      <w:r w:rsidRPr="00C809B7">
        <w:rPr>
          <w:rFonts w:ascii="Verdana" w:hAnsi="Verdana"/>
          <w:sz w:val="20"/>
          <w:szCs w:val="20"/>
        </w:rPr>
        <w:t xml:space="preserve">, </w:t>
      </w:r>
      <w:r>
        <w:rPr>
          <w:rFonts w:ascii="Verdana" w:hAnsi="Verdana"/>
          <w:sz w:val="20"/>
          <w:szCs w:val="20"/>
        </w:rPr>
        <w:t xml:space="preserve">Vol. </w:t>
      </w:r>
      <w:r w:rsidRPr="00C809B7">
        <w:rPr>
          <w:rFonts w:ascii="Verdana" w:hAnsi="Verdana"/>
          <w:sz w:val="20"/>
          <w:szCs w:val="20"/>
        </w:rPr>
        <w:t>8</w:t>
      </w:r>
      <w:r>
        <w:rPr>
          <w:rFonts w:ascii="Verdana" w:hAnsi="Verdana"/>
          <w:sz w:val="20"/>
          <w:szCs w:val="20"/>
        </w:rPr>
        <w:t>, No.1</w:t>
      </w:r>
      <w:r w:rsidRPr="00C809B7">
        <w:rPr>
          <w:rFonts w:ascii="Verdana" w:hAnsi="Verdana"/>
          <w:sz w:val="20"/>
          <w:szCs w:val="20"/>
        </w:rPr>
        <w:t xml:space="preserve">, </w:t>
      </w:r>
      <w:r>
        <w:rPr>
          <w:rFonts w:ascii="Verdana" w:hAnsi="Verdana"/>
          <w:sz w:val="20"/>
          <w:szCs w:val="20"/>
        </w:rPr>
        <w:t xml:space="preserve">pp. </w:t>
      </w:r>
      <w:r w:rsidRPr="00C809B7">
        <w:rPr>
          <w:rFonts w:ascii="Verdana" w:hAnsi="Verdana"/>
          <w:sz w:val="20"/>
          <w:szCs w:val="20"/>
        </w:rPr>
        <w:t>13-24.</w:t>
      </w:r>
    </w:p>
    <w:p w:rsidR="006B59AA" w:rsidRPr="00F244DC" w:rsidRDefault="006B59AA" w:rsidP="00F13E31">
      <w:pPr>
        <w:spacing w:after="0" w:line="360" w:lineRule="auto"/>
        <w:jc w:val="both"/>
        <w:outlineLvl w:val="3"/>
        <w:rPr>
          <w:rFonts w:ascii="Verdana" w:eastAsia="Times New Roman" w:hAnsi="Verdana" w:cs="Times New Roman"/>
          <w:sz w:val="20"/>
          <w:szCs w:val="20"/>
          <w:lang w:val="en-US"/>
        </w:rPr>
      </w:pPr>
      <w:r w:rsidRPr="00F244DC">
        <w:rPr>
          <w:rFonts w:ascii="Verdana" w:eastAsia="Times New Roman" w:hAnsi="Verdana" w:cs="Times New Roman"/>
          <w:sz w:val="20"/>
          <w:szCs w:val="20"/>
          <w:lang w:val="en-US"/>
        </w:rPr>
        <w:t xml:space="preserve">Kinchin, G.D. (2001) A High Skilled Pupil’s Experiences with Sport Education. </w:t>
      </w:r>
      <w:r w:rsidRPr="00F244DC">
        <w:rPr>
          <w:rFonts w:ascii="Verdana" w:eastAsia="Times New Roman" w:hAnsi="Verdana" w:cs="Times New Roman"/>
          <w:i/>
          <w:sz w:val="20"/>
          <w:szCs w:val="20"/>
          <w:lang w:val="en-US"/>
        </w:rPr>
        <w:t>The</w:t>
      </w:r>
      <w:r w:rsidRPr="00F244DC">
        <w:rPr>
          <w:rFonts w:ascii="Verdana" w:eastAsia="Times New Roman" w:hAnsi="Verdana" w:cs="Times New Roman"/>
          <w:i/>
          <w:sz w:val="20"/>
          <w:szCs w:val="20"/>
          <w:lang w:val="en-US"/>
        </w:rPr>
        <w:tab/>
        <w:t>ACHPER Healthy Lifestyles Journal</w:t>
      </w:r>
      <w:r w:rsidRPr="00F244DC">
        <w:rPr>
          <w:rFonts w:ascii="Verdana" w:eastAsia="Times New Roman" w:hAnsi="Verdana" w:cs="Times New Roman"/>
          <w:sz w:val="20"/>
          <w:szCs w:val="20"/>
          <w:lang w:val="en-US"/>
        </w:rPr>
        <w:t>, Vol. 48 No.3, pp.5-9.</w:t>
      </w:r>
    </w:p>
    <w:p w:rsidR="006B59AA" w:rsidRPr="00F244DC" w:rsidRDefault="006B59AA" w:rsidP="00F13E31">
      <w:pPr>
        <w:autoSpaceDE w:val="0"/>
        <w:autoSpaceDN w:val="0"/>
        <w:adjustRightInd w:val="0"/>
        <w:spacing w:after="0" w:line="360" w:lineRule="auto"/>
        <w:jc w:val="both"/>
        <w:rPr>
          <w:rFonts w:ascii="Verdana" w:eastAsia="Calibri" w:hAnsi="Verdana" w:cs="Times New Roman"/>
          <w:sz w:val="20"/>
          <w:szCs w:val="20"/>
          <w:lang w:val="en-US"/>
        </w:rPr>
      </w:pPr>
      <w:r w:rsidRPr="00F244DC">
        <w:rPr>
          <w:rFonts w:ascii="Verdana" w:eastAsia="Calibri" w:hAnsi="Verdana" w:cs="Times New Roman"/>
          <w:bCs/>
          <w:sz w:val="20"/>
          <w:szCs w:val="20"/>
          <w:lang w:val="en-US"/>
        </w:rPr>
        <w:br/>
        <w:t>Kirk, D. (</w:t>
      </w:r>
      <w:r w:rsidRPr="00F244DC">
        <w:rPr>
          <w:rFonts w:ascii="Verdana" w:eastAsia="Calibri" w:hAnsi="Verdana" w:cs="Times New Roman"/>
          <w:sz w:val="20"/>
          <w:szCs w:val="20"/>
          <w:lang w:val="en-US"/>
        </w:rPr>
        <w:t xml:space="preserve">2006) </w:t>
      </w:r>
      <w:r w:rsidRPr="00F244DC">
        <w:rPr>
          <w:rFonts w:ascii="Verdana" w:eastAsia="Calibri" w:hAnsi="Verdana" w:cs="Times New Roman"/>
          <w:bCs/>
          <w:sz w:val="20"/>
          <w:szCs w:val="20"/>
          <w:lang w:val="en-US"/>
        </w:rPr>
        <w:t>Sport Education, Critical Pedagogy and Learning Theory: Toward an</w:t>
      </w:r>
      <w:r w:rsidRPr="00F244DC">
        <w:rPr>
          <w:rFonts w:ascii="Verdana" w:eastAsia="Calibri" w:hAnsi="Verdana" w:cs="Times New Roman"/>
          <w:bCs/>
          <w:sz w:val="20"/>
          <w:szCs w:val="20"/>
          <w:lang w:val="en-US"/>
        </w:rPr>
        <w:tab/>
        <w:t>Intrinsic Justification for Physical Education and Youth Sport,</w:t>
      </w:r>
      <w:r w:rsidRPr="00F244DC">
        <w:rPr>
          <w:rFonts w:ascii="Verdana" w:eastAsia="Calibri" w:hAnsi="Verdana" w:cs="Times New Roman"/>
          <w:i/>
          <w:iCs/>
          <w:sz w:val="20"/>
          <w:szCs w:val="20"/>
          <w:lang w:val="en-US"/>
        </w:rPr>
        <w:t xml:space="preserve"> Quest</w:t>
      </w:r>
      <w:r w:rsidRPr="00F244DC">
        <w:rPr>
          <w:rFonts w:ascii="Verdana" w:eastAsia="Calibri" w:hAnsi="Verdana" w:cs="Times New Roman"/>
          <w:sz w:val="20"/>
          <w:szCs w:val="20"/>
          <w:lang w:val="en-US"/>
        </w:rPr>
        <w:t xml:space="preserve">, Vol. </w:t>
      </w:r>
      <w:r w:rsidRPr="00F244DC">
        <w:rPr>
          <w:rFonts w:ascii="Verdana" w:eastAsia="Calibri" w:hAnsi="Verdana" w:cs="Times New Roman"/>
          <w:bCs/>
          <w:sz w:val="20"/>
          <w:szCs w:val="20"/>
          <w:lang w:val="en-US"/>
        </w:rPr>
        <w:t>58</w:t>
      </w:r>
      <w:r w:rsidRPr="00F244DC">
        <w:rPr>
          <w:rFonts w:ascii="Verdana" w:eastAsia="Calibri" w:hAnsi="Verdana" w:cs="Times New Roman"/>
          <w:sz w:val="20"/>
          <w:szCs w:val="20"/>
          <w:lang w:val="en-US"/>
        </w:rPr>
        <w:t>,</w:t>
      </w:r>
      <w:r w:rsidRPr="00F244DC">
        <w:rPr>
          <w:rFonts w:ascii="Verdana" w:eastAsia="Calibri" w:hAnsi="Verdana" w:cs="Times New Roman"/>
          <w:sz w:val="20"/>
          <w:szCs w:val="20"/>
          <w:lang w:val="en-US"/>
        </w:rPr>
        <w:tab/>
      </w:r>
      <w:r w:rsidRPr="00F244DC">
        <w:rPr>
          <w:rFonts w:ascii="Verdana" w:eastAsia="Calibri" w:hAnsi="Verdana" w:cs="Times New Roman"/>
          <w:sz w:val="20"/>
          <w:szCs w:val="20"/>
          <w:lang w:val="en-US"/>
        </w:rPr>
        <w:tab/>
        <w:t>pp. 255-264</w:t>
      </w:r>
    </w:p>
    <w:p w:rsidR="006B59AA" w:rsidRPr="00F244DC" w:rsidRDefault="006B59AA" w:rsidP="00F13E31">
      <w:pPr>
        <w:autoSpaceDE w:val="0"/>
        <w:autoSpaceDN w:val="0"/>
        <w:adjustRightInd w:val="0"/>
        <w:spacing w:after="0" w:line="360" w:lineRule="auto"/>
        <w:rPr>
          <w:rFonts w:ascii="Verdana" w:hAnsi="Verdana" w:cs="Trebuchet MS"/>
          <w:sz w:val="20"/>
          <w:szCs w:val="20"/>
        </w:rPr>
      </w:pPr>
      <w:r w:rsidRPr="00F244DC">
        <w:rPr>
          <w:rFonts w:ascii="Verdana" w:hAnsi="Verdana" w:cs="Trebuchet MS"/>
          <w:sz w:val="20"/>
          <w:szCs w:val="20"/>
        </w:rPr>
        <w:br/>
        <w:t>Kolb D. (1984). Experiential learning: experience as the source of learning and</w:t>
      </w:r>
      <w:r w:rsidRPr="00F244DC">
        <w:rPr>
          <w:rFonts w:ascii="Verdana" w:hAnsi="Verdana" w:cs="Trebuchet MS"/>
          <w:sz w:val="20"/>
          <w:szCs w:val="20"/>
        </w:rPr>
        <w:tab/>
        <w:t>development. Englewood Cliffs, New Jersey: Prentice Hall.</w:t>
      </w:r>
    </w:p>
    <w:p w:rsidR="006B59AA" w:rsidRPr="00F244DC" w:rsidRDefault="006B59AA" w:rsidP="00F13E31">
      <w:pPr>
        <w:spacing w:line="360" w:lineRule="auto"/>
        <w:rPr>
          <w:rFonts w:ascii="Verdana" w:hAnsi="Verdana"/>
          <w:sz w:val="20"/>
          <w:szCs w:val="20"/>
        </w:rPr>
      </w:pPr>
      <w:r w:rsidRPr="00F244DC">
        <w:rPr>
          <w:rFonts w:ascii="Verdana" w:hAnsi="Verdana"/>
          <w:sz w:val="20"/>
          <w:szCs w:val="20"/>
        </w:rPr>
        <w:br/>
        <w:t>Kuei-Fang Hsiao , Nian-Shing Chen &amp; Shih-Yu Huang (2012) Learning while exercising</w:t>
      </w:r>
      <w:r w:rsidRPr="00F244DC">
        <w:rPr>
          <w:rFonts w:ascii="Verdana" w:hAnsi="Verdana"/>
          <w:sz w:val="20"/>
          <w:szCs w:val="20"/>
        </w:rPr>
        <w:tab/>
        <w:t xml:space="preserve">for science education in augmented reality among adolescents, </w:t>
      </w:r>
      <w:r w:rsidRPr="00F244DC">
        <w:rPr>
          <w:rFonts w:ascii="Verdana" w:hAnsi="Verdana"/>
          <w:i/>
          <w:sz w:val="20"/>
          <w:szCs w:val="20"/>
        </w:rPr>
        <w:t>Interactive</w:t>
      </w:r>
      <w:r w:rsidRPr="00F244DC">
        <w:rPr>
          <w:rFonts w:ascii="Verdana" w:hAnsi="Verdana"/>
          <w:i/>
          <w:sz w:val="20"/>
          <w:szCs w:val="20"/>
        </w:rPr>
        <w:tab/>
        <w:t>Learning Environments</w:t>
      </w:r>
      <w:r w:rsidRPr="00F244DC">
        <w:rPr>
          <w:rFonts w:ascii="Verdana" w:hAnsi="Verdana"/>
          <w:sz w:val="20"/>
          <w:szCs w:val="20"/>
        </w:rPr>
        <w:t>, Vol.20, No.4, pp.331-349</w:t>
      </w:r>
    </w:p>
    <w:p w:rsidR="006B59AA" w:rsidRDefault="006B59AA" w:rsidP="00A62EAC">
      <w:pPr>
        <w:autoSpaceDE w:val="0"/>
        <w:autoSpaceDN w:val="0"/>
        <w:adjustRightInd w:val="0"/>
        <w:spacing w:after="0" w:line="360" w:lineRule="auto"/>
        <w:rPr>
          <w:rFonts w:ascii="Verdana" w:hAnsi="Verdana"/>
          <w:i/>
          <w:iCs/>
          <w:sz w:val="20"/>
          <w:szCs w:val="20"/>
        </w:rPr>
      </w:pPr>
      <w:r w:rsidRPr="00206FAA">
        <w:rPr>
          <w:rFonts w:ascii="Verdana" w:hAnsi="Verdana"/>
          <w:sz w:val="20"/>
          <w:szCs w:val="20"/>
        </w:rPr>
        <w:t xml:space="preserve">Llagostera, E. </w:t>
      </w:r>
      <w:r>
        <w:rPr>
          <w:rFonts w:ascii="Verdana" w:hAnsi="Verdana"/>
          <w:sz w:val="20"/>
          <w:szCs w:val="20"/>
        </w:rPr>
        <w:t xml:space="preserve">(2012), </w:t>
      </w:r>
      <w:r w:rsidRPr="00206FAA">
        <w:rPr>
          <w:rFonts w:ascii="Verdana" w:hAnsi="Verdana"/>
          <w:sz w:val="20"/>
          <w:szCs w:val="20"/>
        </w:rPr>
        <w:t>On Gamification and Persuasion.</w:t>
      </w:r>
      <w:r w:rsidRPr="00206FAA">
        <w:t xml:space="preserve"> </w:t>
      </w:r>
      <w:r w:rsidRPr="00A62EAC">
        <w:rPr>
          <w:rFonts w:ascii="Verdana" w:hAnsi="Verdana"/>
          <w:i/>
          <w:iCs/>
          <w:sz w:val="20"/>
          <w:szCs w:val="20"/>
        </w:rPr>
        <w:t xml:space="preserve">Game for Change </w:t>
      </w:r>
      <w:r>
        <w:rPr>
          <w:rFonts w:ascii="Verdana" w:hAnsi="Verdana"/>
          <w:i/>
          <w:iCs/>
          <w:sz w:val="20"/>
          <w:szCs w:val="20"/>
        </w:rPr>
        <w:t>conference</w:t>
      </w:r>
      <w:r>
        <w:rPr>
          <w:rFonts w:ascii="Verdana" w:hAnsi="Verdana"/>
          <w:i/>
          <w:iCs/>
          <w:sz w:val="20"/>
          <w:szCs w:val="20"/>
        </w:rPr>
        <w:tab/>
      </w:r>
      <w:r w:rsidRPr="00A62EAC">
        <w:rPr>
          <w:rFonts w:ascii="Verdana" w:hAnsi="Verdana"/>
          <w:i/>
          <w:iCs/>
          <w:sz w:val="20"/>
          <w:szCs w:val="20"/>
        </w:rPr>
        <w:t>proceedings</w:t>
      </w:r>
    </w:p>
    <w:p w:rsidR="006B59AA" w:rsidRPr="00F244DC" w:rsidRDefault="006B59AA" w:rsidP="00F13E31">
      <w:pPr>
        <w:spacing w:line="360" w:lineRule="auto"/>
        <w:rPr>
          <w:rFonts w:ascii="Verdana" w:hAnsi="Verdana"/>
          <w:sz w:val="20"/>
          <w:szCs w:val="20"/>
        </w:rPr>
      </w:pPr>
      <w:r>
        <w:rPr>
          <w:rFonts w:ascii="Verdana" w:hAnsi="Verdana"/>
          <w:sz w:val="20"/>
          <w:szCs w:val="20"/>
        </w:rPr>
        <w:br/>
      </w:r>
      <w:r w:rsidRPr="00F244DC">
        <w:rPr>
          <w:rFonts w:ascii="Verdana" w:hAnsi="Verdana"/>
          <w:sz w:val="20"/>
          <w:szCs w:val="20"/>
        </w:rPr>
        <w:t xml:space="preserve">Malaby, T. M. (2007). Beyond Play: A New Approach to Games, </w:t>
      </w:r>
      <w:r w:rsidRPr="00F244DC">
        <w:rPr>
          <w:rFonts w:ascii="Verdana" w:hAnsi="Verdana"/>
          <w:i/>
          <w:iCs/>
          <w:sz w:val="20"/>
          <w:szCs w:val="20"/>
        </w:rPr>
        <w:t>Games and culture</w:t>
      </w:r>
      <w:r w:rsidRPr="00F244DC">
        <w:rPr>
          <w:rFonts w:ascii="Verdana" w:hAnsi="Verdana"/>
          <w:sz w:val="20"/>
          <w:szCs w:val="20"/>
        </w:rPr>
        <w:t xml:space="preserve">, </w:t>
      </w:r>
      <w:r w:rsidRPr="00F244DC">
        <w:rPr>
          <w:rFonts w:ascii="Verdana" w:hAnsi="Verdana"/>
          <w:sz w:val="20"/>
          <w:szCs w:val="20"/>
        </w:rPr>
        <w:tab/>
      </w:r>
      <w:r w:rsidRPr="00F244DC">
        <w:rPr>
          <w:rFonts w:ascii="Verdana" w:hAnsi="Verdana"/>
          <w:sz w:val="20"/>
          <w:szCs w:val="20"/>
        </w:rPr>
        <w:tab/>
        <w:t xml:space="preserve">Vol. </w:t>
      </w:r>
      <w:r w:rsidRPr="00F244DC">
        <w:rPr>
          <w:rFonts w:ascii="Verdana" w:hAnsi="Verdana"/>
          <w:iCs/>
          <w:sz w:val="20"/>
          <w:szCs w:val="20"/>
        </w:rPr>
        <w:t>2</w:t>
      </w:r>
      <w:r w:rsidRPr="00F244DC">
        <w:rPr>
          <w:rFonts w:ascii="Verdana" w:hAnsi="Verdana"/>
          <w:sz w:val="20"/>
          <w:szCs w:val="20"/>
        </w:rPr>
        <w:t>, No.2, pp. 95-113</w:t>
      </w:r>
    </w:p>
    <w:p w:rsidR="006B59AA" w:rsidRDefault="006B59AA">
      <w:pPr>
        <w:spacing w:line="360" w:lineRule="auto"/>
        <w:rPr>
          <w:rFonts w:ascii="Verdana" w:hAnsi="Verdana"/>
          <w:sz w:val="20"/>
          <w:szCs w:val="20"/>
        </w:rPr>
      </w:pPr>
      <w:r w:rsidRPr="00F244DC">
        <w:rPr>
          <w:rFonts w:ascii="Verdana" w:hAnsi="Verdana"/>
          <w:sz w:val="20"/>
          <w:szCs w:val="20"/>
        </w:rPr>
        <w:br/>
      </w:r>
    </w:p>
    <w:p w:rsidR="006B59AA" w:rsidRDefault="006B59AA">
      <w:pPr>
        <w:spacing w:line="360" w:lineRule="auto"/>
        <w:rPr>
          <w:rFonts w:ascii="Verdana" w:hAnsi="Verdana"/>
          <w:sz w:val="20"/>
          <w:szCs w:val="20"/>
        </w:rPr>
      </w:pPr>
      <w:r w:rsidRPr="00F244DC">
        <w:rPr>
          <w:rFonts w:ascii="Verdana" w:hAnsi="Verdana"/>
          <w:sz w:val="20"/>
          <w:szCs w:val="20"/>
        </w:rPr>
        <w:lastRenderedPageBreak/>
        <w:t>McInerney. D, &amp; McInerney. V, (2010) Learning theory, Social Cognitive theory and</w:t>
      </w:r>
      <w:r w:rsidRPr="00F244DC">
        <w:rPr>
          <w:rFonts w:ascii="Verdana" w:hAnsi="Verdana"/>
          <w:sz w:val="20"/>
          <w:szCs w:val="20"/>
        </w:rPr>
        <w:tab/>
        <w:t xml:space="preserve">Effective learning, </w:t>
      </w:r>
      <w:r w:rsidRPr="00F244DC">
        <w:rPr>
          <w:rFonts w:ascii="Verdana" w:hAnsi="Verdana"/>
          <w:i/>
          <w:sz w:val="20"/>
          <w:szCs w:val="20"/>
        </w:rPr>
        <w:t>Educational psychology</w:t>
      </w:r>
      <w:r w:rsidRPr="00F244DC">
        <w:rPr>
          <w:rFonts w:ascii="Verdana" w:hAnsi="Verdana"/>
          <w:sz w:val="20"/>
          <w:szCs w:val="20"/>
        </w:rPr>
        <w:t xml:space="preserve"> (5</w:t>
      </w:r>
      <w:r w:rsidRPr="00F244DC">
        <w:rPr>
          <w:rFonts w:ascii="Verdana" w:hAnsi="Verdana"/>
          <w:sz w:val="20"/>
          <w:szCs w:val="20"/>
          <w:vertAlign w:val="superscript"/>
        </w:rPr>
        <w:t>th</w:t>
      </w:r>
      <w:r w:rsidRPr="00F244DC">
        <w:rPr>
          <w:rFonts w:ascii="Verdana" w:hAnsi="Verdana"/>
          <w:sz w:val="20"/>
          <w:szCs w:val="20"/>
        </w:rPr>
        <w:t xml:space="preserve"> ed.) Pearson Australia, </w:t>
      </w:r>
      <w:r>
        <w:rPr>
          <w:rFonts w:ascii="Verdana" w:hAnsi="Verdana"/>
          <w:sz w:val="20"/>
          <w:szCs w:val="20"/>
        </w:rPr>
        <w:tab/>
      </w:r>
      <w:r>
        <w:rPr>
          <w:rFonts w:ascii="Verdana" w:hAnsi="Verdana"/>
          <w:sz w:val="20"/>
          <w:szCs w:val="20"/>
        </w:rPr>
        <w:tab/>
      </w:r>
      <w:r>
        <w:rPr>
          <w:rFonts w:ascii="Verdana" w:hAnsi="Verdana"/>
          <w:sz w:val="20"/>
          <w:szCs w:val="20"/>
        </w:rPr>
        <w:tab/>
      </w:r>
      <w:r w:rsidRPr="00F244DC">
        <w:rPr>
          <w:rFonts w:ascii="Verdana" w:hAnsi="Verdana"/>
          <w:sz w:val="20"/>
          <w:szCs w:val="20"/>
        </w:rPr>
        <w:t xml:space="preserve">pp. 159-187 </w:t>
      </w:r>
    </w:p>
    <w:p w:rsidR="006B59AA" w:rsidRDefault="006B59AA" w:rsidP="00A62EAC">
      <w:pPr>
        <w:autoSpaceDE w:val="0"/>
        <w:autoSpaceDN w:val="0"/>
        <w:adjustRightInd w:val="0"/>
        <w:spacing w:after="0" w:line="360" w:lineRule="auto"/>
        <w:rPr>
          <w:rFonts w:ascii="Verdana" w:hAnsi="Verdana"/>
          <w:sz w:val="20"/>
          <w:szCs w:val="20"/>
        </w:rPr>
      </w:pPr>
      <w:r w:rsidRPr="001201A2">
        <w:rPr>
          <w:rFonts w:ascii="Verdana" w:hAnsi="Verdana"/>
          <w:sz w:val="20"/>
          <w:szCs w:val="20"/>
        </w:rPr>
        <w:t>Salen, K.</w:t>
      </w:r>
      <w:r>
        <w:rPr>
          <w:rFonts w:ascii="Verdana" w:hAnsi="Verdana"/>
          <w:sz w:val="20"/>
          <w:szCs w:val="20"/>
        </w:rPr>
        <w:t xml:space="preserve"> &amp; Zimmerman, E.</w:t>
      </w:r>
      <w:r w:rsidRPr="001201A2">
        <w:rPr>
          <w:rFonts w:ascii="Verdana" w:hAnsi="Verdana"/>
          <w:sz w:val="20"/>
          <w:szCs w:val="20"/>
        </w:rPr>
        <w:t xml:space="preserve"> (2004). Rules of play: Ga</w:t>
      </w:r>
      <w:r>
        <w:rPr>
          <w:rFonts w:ascii="Verdana" w:hAnsi="Verdana"/>
          <w:sz w:val="20"/>
          <w:szCs w:val="20"/>
        </w:rPr>
        <w:t>me design fundamentals. The MIT</w:t>
      </w:r>
      <w:r>
        <w:rPr>
          <w:rFonts w:ascii="Verdana" w:hAnsi="Verdana"/>
          <w:sz w:val="20"/>
          <w:szCs w:val="20"/>
        </w:rPr>
        <w:tab/>
      </w:r>
      <w:r w:rsidRPr="001201A2">
        <w:rPr>
          <w:rFonts w:ascii="Verdana" w:hAnsi="Verdana"/>
          <w:sz w:val="20"/>
          <w:szCs w:val="20"/>
        </w:rPr>
        <w:t>Press.</w:t>
      </w:r>
    </w:p>
    <w:p w:rsidR="006B59AA" w:rsidRPr="00F244DC" w:rsidRDefault="006B59AA" w:rsidP="00F13E31">
      <w:pPr>
        <w:spacing w:line="360" w:lineRule="auto"/>
        <w:rPr>
          <w:rFonts w:ascii="Verdana" w:hAnsi="Verdana"/>
          <w:sz w:val="20"/>
          <w:szCs w:val="20"/>
          <w:lang w:val="en"/>
        </w:rPr>
      </w:pPr>
      <w:r w:rsidRPr="006B59AA">
        <w:rPr>
          <w:rFonts w:ascii="Verdana" w:hAnsi="Verdana"/>
          <w:sz w:val="20"/>
          <w:szCs w:val="20"/>
          <w:lang w:val="de-DE"/>
        </w:rPr>
        <w:t xml:space="preserve">Shernoff, D. J., Csikszentmihalyi, M., Schneider, B., &amp; Elisa, S. S. (2003). </w:t>
      </w:r>
      <w:r w:rsidRPr="00F244DC">
        <w:rPr>
          <w:rFonts w:ascii="Verdana" w:hAnsi="Verdana"/>
          <w:sz w:val="20"/>
          <w:szCs w:val="20"/>
          <w:lang w:val="en"/>
        </w:rPr>
        <w:t>Student</w:t>
      </w:r>
      <w:r w:rsidRPr="00F244DC">
        <w:rPr>
          <w:rFonts w:ascii="Verdana" w:hAnsi="Verdana"/>
          <w:sz w:val="20"/>
          <w:szCs w:val="20"/>
          <w:lang w:val="en"/>
        </w:rPr>
        <w:tab/>
        <w:t>engagement in high school classrooms from the perspective of flow theory.</w:t>
      </w:r>
      <w:r w:rsidRPr="00F244DC">
        <w:rPr>
          <w:rFonts w:ascii="Verdana" w:hAnsi="Verdana"/>
          <w:i/>
          <w:iCs/>
          <w:sz w:val="20"/>
          <w:szCs w:val="20"/>
          <w:lang w:val="en"/>
        </w:rPr>
        <w:tab/>
        <w:t>School Psychology Quarterly,</w:t>
      </w:r>
      <w:r w:rsidRPr="00F244DC">
        <w:rPr>
          <w:rFonts w:ascii="Verdana" w:hAnsi="Verdana"/>
          <w:iCs/>
          <w:sz w:val="20"/>
          <w:szCs w:val="20"/>
          <w:lang w:val="en"/>
        </w:rPr>
        <w:t xml:space="preserve"> Vol.18</w:t>
      </w:r>
      <w:r w:rsidRPr="00F244DC">
        <w:rPr>
          <w:rFonts w:ascii="Verdana" w:hAnsi="Verdana"/>
          <w:sz w:val="20"/>
          <w:szCs w:val="20"/>
          <w:lang w:val="en"/>
        </w:rPr>
        <w:t>, No.2, pp. 158</w:t>
      </w:r>
    </w:p>
    <w:p w:rsidR="006B59AA" w:rsidRDefault="006B59AA" w:rsidP="00F13E31">
      <w:pPr>
        <w:autoSpaceDE w:val="0"/>
        <w:autoSpaceDN w:val="0"/>
        <w:adjustRightInd w:val="0"/>
        <w:spacing w:after="0" w:line="360" w:lineRule="auto"/>
        <w:rPr>
          <w:rFonts w:ascii="Verdana" w:hAnsi="Verdana"/>
          <w:sz w:val="20"/>
          <w:szCs w:val="20"/>
        </w:rPr>
      </w:pPr>
      <w:r w:rsidRPr="00F244DC">
        <w:rPr>
          <w:rFonts w:ascii="Verdana" w:hAnsi="Verdana"/>
          <w:sz w:val="20"/>
          <w:szCs w:val="20"/>
        </w:rPr>
        <w:t>Squire, K. (2006). From content to context: Videogames as designed experience.</w:t>
      </w:r>
      <w:r w:rsidRPr="00F244DC">
        <w:rPr>
          <w:rFonts w:ascii="Verdana" w:hAnsi="Verdana"/>
          <w:sz w:val="20"/>
          <w:szCs w:val="20"/>
        </w:rPr>
        <w:tab/>
      </w:r>
      <w:r w:rsidRPr="00F244DC">
        <w:rPr>
          <w:rFonts w:ascii="Verdana" w:hAnsi="Verdana"/>
          <w:i/>
          <w:iCs/>
          <w:sz w:val="20"/>
          <w:szCs w:val="20"/>
        </w:rPr>
        <w:t>Educational researcher</w:t>
      </w:r>
      <w:r w:rsidRPr="00F244DC">
        <w:rPr>
          <w:rFonts w:ascii="Verdana" w:hAnsi="Verdana"/>
          <w:sz w:val="20"/>
          <w:szCs w:val="20"/>
        </w:rPr>
        <w:t>, Vol.35 No.8, pp. 19-29.</w:t>
      </w:r>
    </w:p>
    <w:p w:rsidR="001201A2" w:rsidRPr="001201A2" w:rsidRDefault="001201A2" w:rsidP="00A62EAC">
      <w:pPr>
        <w:autoSpaceDE w:val="0"/>
        <w:autoSpaceDN w:val="0"/>
        <w:adjustRightInd w:val="0"/>
        <w:spacing w:after="0" w:line="360" w:lineRule="auto"/>
        <w:rPr>
          <w:rFonts w:ascii="Verdana" w:hAnsi="Verdana"/>
          <w:sz w:val="20"/>
          <w:szCs w:val="20"/>
        </w:rPr>
      </w:pPr>
    </w:p>
    <w:sectPr w:rsidR="001201A2" w:rsidRPr="001201A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dvTT5843c571">
    <w:panose1 w:val="00000000000000000000"/>
    <w:charset w:val="00"/>
    <w:family w:val="roman"/>
    <w:notTrueType/>
    <w:pitch w:val="default"/>
    <w:sig w:usb0="00000003" w:usb1="00000000" w:usb2="00000000" w:usb3="00000000" w:csb0="00000001" w:csb1="00000000"/>
  </w:font>
  <w:font w:name="GaramondBE-Regular">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740AD"/>
    <w:multiLevelType w:val="hybridMultilevel"/>
    <w:tmpl w:val="EE10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41410F"/>
    <w:multiLevelType w:val="hybridMultilevel"/>
    <w:tmpl w:val="5B6EE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C223034"/>
    <w:multiLevelType w:val="hybridMultilevel"/>
    <w:tmpl w:val="F2BCB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DF4"/>
    <w:rsid w:val="000216DF"/>
    <w:rsid w:val="0002321F"/>
    <w:rsid w:val="000247D9"/>
    <w:rsid w:val="00053CB3"/>
    <w:rsid w:val="000604AA"/>
    <w:rsid w:val="00061141"/>
    <w:rsid w:val="00074A62"/>
    <w:rsid w:val="00083C84"/>
    <w:rsid w:val="00110278"/>
    <w:rsid w:val="00116F84"/>
    <w:rsid w:val="001201A2"/>
    <w:rsid w:val="00171EA9"/>
    <w:rsid w:val="00193968"/>
    <w:rsid w:val="00193EC5"/>
    <w:rsid w:val="00197B75"/>
    <w:rsid w:val="001C34A3"/>
    <w:rsid w:val="001C7208"/>
    <w:rsid w:val="001D279A"/>
    <w:rsid w:val="001D2B35"/>
    <w:rsid w:val="00204A96"/>
    <w:rsid w:val="00205B57"/>
    <w:rsid w:val="00206FAA"/>
    <w:rsid w:val="00221A6D"/>
    <w:rsid w:val="00251D0E"/>
    <w:rsid w:val="00265B09"/>
    <w:rsid w:val="00265F4F"/>
    <w:rsid w:val="002A459F"/>
    <w:rsid w:val="002B55BB"/>
    <w:rsid w:val="002C39A8"/>
    <w:rsid w:val="002F20C5"/>
    <w:rsid w:val="0031584D"/>
    <w:rsid w:val="00327068"/>
    <w:rsid w:val="00327DCE"/>
    <w:rsid w:val="003333E5"/>
    <w:rsid w:val="00356187"/>
    <w:rsid w:val="00356459"/>
    <w:rsid w:val="00365EF9"/>
    <w:rsid w:val="00371FF5"/>
    <w:rsid w:val="00374802"/>
    <w:rsid w:val="00380EF4"/>
    <w:rsid w:val="003A2A10"/>
    <w:rsid w:val="00413B3D"/>
    <w:rsid w:val="00425757"/>
    <w:rsid w:val="004621C2"/>
    <w:rsid w:val="00462962"/>
    <w:rsid w:val="004671E2"/>
    <w:rsid w:val="004B1BFD"/>
    <w:rsid w:val="004C1839"/>
    <w:rsid w:val="004C3457"/>
    <w:rsid w:val="004C67A8"/>
    <w:rsid w:val="004F0D7B"/>
    <w:rsid w:val="00502D3C"/>
    <w:rsid w:val="00504790"/>
    <w:rsid w:val="00513049"/>
    <w:rsid w:val="00535D1F"/>
    <w:rsid w:val="00537CA3"/>
    <w:rsid w:val="005618AA"/>
    <w:rsid w:val="005A7BCD"/>
    <w:rsid w:val="0065678B"/>
    <w:rsid w:val="00673E5E"/>
    <w:rsid w:val="00683D72"/>
    <w:rsid w:val="006902B1"/>
    <w:rsid w:val="006A4CC3"/>
    <w:rsid w:val="006B1854"/>
    <w:rsid w:val="006B59AA"/>
    <w:rsid w:val="006C6C17"/>
    <w:rsid w:val="006D6604"/>
    <w:rsid w:val="0072793B"/>
    <w:rsid w:val="007413BC"/>
    <w:rsid w:val="007750A1"/>
    <w:rsid w:val="00781BB1"/>
    <w:rsid w:val="00797321"/>
    <w:rsid w:val="00797866"/>
    <w:rsid w:val="007B02E3"/>
    <w:rsid w:val="007B7CF0"/>
    <w:rsid w:val="007C2D3F"/>
    <w:rsid w:val="007C48DB"/>
    <w:rsid w:val="007E3ECD"/>
    <w:rsid w:val="007F2197"/>
    <w:rsid w:val="007F7A77"/>
    <w:rsid w:val="008111D8"/>
    <w:rsid w:val="0083482D"/>
    <w:rsid w:val="0084506F"/>
    <w:rsid w:val="00854005"/>
    <w:rsid w:val="008A4C37"/>
    <w:rsid w:val="008C761D"/>
    <w:rsid w:val="008E235E"/>
    <w:rsid w:val="00915E9A"/>
    <w:rsid w:val="009255D3"/>
    <w:rsid w:val="00925A14"/>
    <w:rsid w:val="0093240C"/>
    <w:rsid w:val="00950CDB"/>
    <w:rsid w:val="00996148"/>
    <w:rsid w:val="009A6E13"/>
    <w:rsid w:val="009C2934"/>
    <w:rsid w:val="009E7CDA"/>
    <w:rsid w:val="00A01A5C"/>
    <w:rsid w:val="00A34C48"/>
    <w:rsid w:val="00A41A75"/>
    <w:rsid w:val="00A5331B"/>
    <w:rsid w:val="00A61483"/>
    <w:rsid w:val="00A62EAC"/>
    <w:rsid w:val="00A71A54"/>
    <w:rsid w:val="00AA4070"/>
    <w:rsid w:val="00AA4524"/>
    <w:rsid w:val="00AA6FDA"/>
    <w:rsid w:val="00AB40DF"/>
    <w:rsid w:val="00AC3606"/>
    <w:rsid w:val="00AC6C85"/>
    <w:rsid w:val="00AE0AF5"/>
    <w:rsid w:val="00B21928"/>
    <w:rsid w:val="00B53DC5"/>
    <w:rsid w:val="00B6506B"/>
    <w:rsid w:val="00B65A37"/>
    <w:rsid w:val="00BB30F9"/>
    <w:rsid w:val="00BF19F1"/>
    <w:rsid w:val="00C0594B"/>
    <w:rsid w:val="00C465BA"/>
    <w:rsid w:val="00C5105B"/>
    <w:rsid w:val="00C607D3"/>
    <w:rsid w:val="00C62C7C"/>
    <w:rsid w:val="00C809B7"/>
    <w:rsid w:val="00C85795"/>
    <w:rsid w:val="00D452F7"/>
    <w:rsid w:val="00D454DF"/>
    <w:rsid w:val="00DB0A14"/>
    <w:rsid w:val="00DB6BAB"/>
    <w:rsid w:val="00DB76EA"/>
    <w:rsid w:val="00DC76D2"/>
    <w:rsid w:val="00E100EE"/>
    <w:rsid w:val="00E159DB"/>
    <w:rsid w:val="00E4176C"/>
    <w:rsid w:val="00E5167C"/>
    <w:rsid w:val="00E5303F"/>
    <w:rsid w:val="00E536AC"/>
    <w:rsid w:val="00E777CF"/>
    <w:rsid w:val="00E92E6A"/>
    <w:rsid w:val="00E97F17"/>
    <w:rsid w:val="00EA098B"/>
    <w:rsid w:val="00EA305D"/>
    <w:rsid w:val="00EB4CE2"/>
    <w:rsid w:val="00F13E31"/>
    <w:rsid w:val="00F20622"/>
    <w:rsid w:val="00F244DC"/>
    <w:rsid w:val="00F24C10"/>
    <w:rsid w:val="00F372BB"/>
    <w:rsid w:val="00F56348"/>
    <w:rsid w:val="00F71DF4"/>
    <w:rsid w:val="00FA3D5B"/>
    <w:rsid w:val="00FA5D1C"/>
    <w:rsid w:val="00FC265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CE2"/>
    <w:pPr>
      <w:ind w:left="720"/>
      <w:contextualSpacing/>
    </w:pPr>
  </w:style>
  <w:style w:type="table" w:styleId="TableGrid">
    <w:name w:val="Table Grid"/>
    <w:basedOn w:val="TableNormal"/>
    <w:uiPriority w:val="59"/>
    <w:rsid w:val="00BF1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1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EA9"/>
    <w:rPr>
      <w:rFonts w:ascii="Tahoma" w:hAnsi="Tahoma" w:cs="Tahoma"/>
      <w:sz w:val="16"/>
      <w:szCs w:val="16"/>
    </w:rPr>
  </w:style>
  <w:style w:type="character" w:styleId="Hyperlink">
    <w:name w:val="Hyperlink"/>
    <w:basedOn w:val="DefaultParagraphFont"/>
    <w:uiPriority w:val="99"/>
    <w:unhideWhenUsed/>
    <w:rsid w:val="00171E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CE2"/>
    <w:pPr>
      <w:ind w:left="720"/>
      <w:contextualSpacing/>
    </w:pPr>
  </w:style>
  <w:style w:type="table" w:styleId="TableGrid">
    <w:name w:val="Table Grid"/>
    <w:basedOn w:val="TableNormal"/>
    <w:uiPriority w:val="59"/>
    <w:rsid w:val="00BF1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1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EA9"/>
    <w:rPr>
      <w:rFonts w:ascii="Tahoma" w:hAnsi="Tahoma" w:cs="Tahoma"/>
      <w:sz w:val="16"/>
      <w:szCs w:val="16"/>
    </w:rPr>
  </w:style>
  <w:style w:type="character" w:styleId="Hyperlink">
    <w:name w:val="Hyperlink"/>
    <w:basedOn w:val="DefaultParagraphFont"/>
    <w:uiPriority w:val="99"/>
    <w:unhideWhenUsed/>
    <w:rsid w:val="00171E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472474">
      <w:bodyDiv w:val="1"/>
      <w:marLeft w:val="0"/>
      <w:marRight w:val="0"/>
      <w:marTop w:val="0"/>
      <w:marBottom w:val="0"/>
      <w:divBdr>
        <w:top w:val="none" w:sz="0" w:space="0" w:color="auto"/>
        <w:left w:val="none" w:sz="0" w:space="0" w:color="auto"/>
        <w:bottom w:val="none" w:sz="0" w:space="0" w:color="auto"/>
        <w:right w:val="none" w:sz="0" w:space="0" w:color="auto"/>
      </w:divBdr>
      <w:divsChild>
        <w:div w:id="487288677">
          <w:marLeft w:val="0"/>
          <w:marRight w:val="0"/>
          <w:marTop w:val="0"/>
          <w:marBottom w:val="0"/>
          <w:divBdr>
            <w:top w:val="none" w:sz="0" w:space="0" w:color="auto"/>
            <w:left w:val="none" w:sz="0" w:space="0" w:color="auto"/>
            <w:bottom w:val="none" w:sz="0" w:space="0" w:color="auto"/>
            <w:right w:val="none" w:sz="0" w:space="0" w:color="auto"/>
          </w:divBdr>
          <w:divsChild>
            <w:div w:id="45613504">
              <w:marLeft w:val="0"/>
              <w:marRight w:val="0"/>
              <w:marTop w:val="0"/>
              <w:marBottom w:val="0"/>
              <w:divBdr>
                <w:top w:val="none" w:sz="0" w:space="0" w:color="auto"/>
                <w:left w:val="none" w:sz="0" w:space="0" w:color="auto"/>
                <w:bottom w:val="none" w:sz="0" w:space="0" w:color="auto"/>
                <w:right w:val="none" w:sz="0" w:space="0" w:color="auto"/>
              </w:divBdr>
              <w:divsChild>
                <w:div w:id="865487086">
                  <w:marLeft w:val="0"/>
                  <w:marRight w:val="0"/>
                  <w:marTop w:val="0"/>
                  <w:marBottom w:val="0"/>
                  <w:divBdr>
                    <w:top w:val="none" w:sz="0" w:space="0" w:color="auto"/>
                    <w:left w:val="none" w:sz="0" w:space="0" w:color="auto"/>
                    <w:bottom w:val="none" w:sz="0" w:space="0" w:color="auto"/>
                    <w:right w:val="none" w:sz="0" w:space="0" w:color="auto"/>
                  </w:divBdr>
                  <w:divsChild>
                    <w:div w:id="627661128">
                      <w:marLeft w:val="0"/>
                      <w:marRight w:val="0"/>
                      <w:marTop w:val="0"/>
                      <w:marBottom w:val="0"/>
                      <w:divBdr>
                        <w:top w:val="none" w:sz="0" w:space="0" w:color="auto"/>
                        <w:left w:val="none" w:sz="0" w:space="0" w:color="auto"/>
                        <w:bottom w:val="none" w:sz="0" w:space="0" w:color="auto"/>
                        <w:right w:val="none" w:sz="0" w:space="0" w:color="auto"/>
                      </w:divBdr>
                      <w:divsChild>
                        <w:div w:id="1703631552">
                          <w:marLeft w:val="0"/>
                          <w:marRight w:val="0"/>
                          <w:marTop w:val="0"/>
                          <w:marBottom w:val="0"/>
                          <w:divBdr>
                            <w:top w:val="none" w:sz="0" w:space="0" w:color="auto"/>
                            <w:left w:val="none" w:sz="0" w:space="0" w:color="auto"/>
                            <w:bottom w:val="none" w:sz="0" w:space="0" w:color="auto"/>
                            <w:right w:val="none" w:sz="0" w:space="0" w:color="auto"/>
                          </w:divBdr>
                          <w:divsChild>
                            <w:div w:id="45845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493651">
      <w:bodyDiv w:val="1"/>
      <w:marLeft w:val="0"/>
      <w:marRight w:val="0"/>
      <w:marTop w:val="0"/>
      <w:marBottom w:val="0"/>
      <w:divBdr>
        <w:top w:val="none" w:sz="0" w:space="0" w:color="auto"/>
        <w:left w:val="none" w:sz="0" w:space="0" w:color="auto"/>
        <w:bottom w:val="none" w:sz="0" w:space="0" w:color="auto"/>
        <w:right w:val="none" w:sz="0" w:space="0" w:color="auto"/>
      </w:divBdr>
      <w:divsChild>
        <w:div w:id="969481987">
          <w:marLeft w:val="0"/>
          <w:marRight w:val="0"/>
          <w:marTop w:val="0"/>
          <w:marBottom w:val="0"/>
          <w:divBdr>
            <w:top w:val="none" w:sz="0" w:space="0" w:color="auto"/>
            <w:left w:val="none" w:sz="0" w:space="0" w:color="auto"/>
            <w:bottom w:val="none" w:sz="0" w:space="0" w:color="auto"/>
            <w:right w:val="none" w:sz="0" w:space="0" w:color="auto"/>
          </w:divBdr>
          <w:divsChild>
            <w:div w:id="1763839806">
              <w:marLeft w:val="0"/>
              <w:marRight w:val="0"/>
              <w:marTop w:val="0"/>
              <w:marBottom w:val="0"/>
              <w:divBdr>
                <w:top w:val="none" w:sz="0" w:space="0" w:color="auto"/>
                <w:left w:val="none" w:sz="0" w:space="0" w:color="auto"/>
                <w:bottom w:val="none" w:sz="0" w:space="0" w:color="auto"/>
                <w:right w:val="none" w:sz="0" w:space="0" w:color="auto"/>
              </w:divBdr>
              <w:divsChild>
                <w:div w:id="1743016461">
                  <w:marLeft w:val="0"/>
                  <w:marRight w:val="0"/>
                  <w:marTop w:val="0"/>
                  <w:marBottom w:val="0"/>
                  <w:divBdr>
                    <w:top w:val="none" w:sz="0" w:space="0" w:color="auto"/>
                    <w:left w:val="none" w:sz="0" w:space="0" w:color="auto"/>
                    <w:bottom w:val="none" w:sz="0" w:space="0" w:color="auto"/>
                    <w:right w:val="none" w:sz="0" w:space="0" w:color="auto"/>
                  </w:divBdr>
                  <w:divsChild>
                    <w:div w:id="1487164431">
                      <w:marLeft w:val="0"/>
                      <w:marRight w:val="0"/>
                      <w:marTop w:val="0"/>
                      <w:marBottom w:val="0"/>
                      <w:divBdr>
                        <w:top w:val="none" w:sz="0" w:space="0" w:color="auto"/>
                        <w:left w:val="none" w:sz="0" w:space="0" w:color="auto"/>
                        <w:bottom w:val="none" w:sz="0" w:space="0" w:color="auto"/>
                        <w:right w:val="none" w:sz="0" w:space="0" w:color="auto"/>
                      </w:divBdr>
                      <w:divsChild>
                        <w:div w:id="202863793">
                          <w:marLeft w:val="0"/>
                          <w:marRight w:val="0"/>
                          <w:marTop w:val="0"/>
                          <w:marBottom w:val="0"/>
                          <w:divBdr>
                            <w:top w:val="none" w:sz="0" w:space="0" w:color="auto"/>
                            <w:left w:val="none" w:sz="0" w:space="0" w:color="auto"/>
                            <w:bottom w:val="none" w:sz="0" w:space="0" w:color="auto"/>
                            <w:right w:val="none" w:sz="0" w:space="0" w:color="auto"/>
                          </w:divBdr>
                          <w:divsChild>
                            <w:div w:id="95618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744249">
      <w:bodyDiv w:val="1"/>
      <w:marLeft w:val="0"/>
      <w:marRight w:val="0"/>
      <w:marTop w:val="0"/>
      <w:marBottom w:val="0"/>
      <w:divBdr>
        <w:top w:val="none" w:sz="0" w:space="0" w:color="auto"/>
        <w:left w:val="none" w:sz="0" w:space="0" w:color="auto"/>
        <w:bottom w:val="none" w:sz="0" w:space="0" w:color="auto"/>
        <w:right w:val="none" w:sz="0" w:space="0" w:color="auto"/>
      </w:divBdr>
      <w:divsChild>
        <w:div w:id="574558115">
          <w:marLeft w:val="0"/>
          <w:marRight w:val="0"/>
          <w:marTop w:val="0"/>
          <w:marBottom w:val="0"/>
          <w:divBdr>
            <w:top w:val="none" w:sz="0" w:space="0" w:color="auto"/>
            <w:left w:val="none" w:sz="0" w:space="0" w:color="auto"/>
            <w:bottom w:val="none" w:sz="0" w:space="0" w:color="auto"/>
            <w:right w:val="none" w:sz="0" w:space="0" w:color="auto"/>
          </w:divBdr>
          <w:divsChild>
            <w:div w:id="834760152">
              <w:marLeft w:val="0"/>
              <w:marRight w:val="0"/>
              <w:marTop w:val="0"/>
              <w:marBottom w:val="0"/>
              <w:divBdr>
                <w:top w:val="none" w:sz="0" w:space="0" w:color="auto"/>
                <w:left w:val="none" w:sz="0" w:space="0" w:color="auto"/>
                <w:bottom w:val="none" w:sz="0" w:space="0" w:color="auto"/>
                <w:right w:val="none" w:sz="0" w:space="0" w:color="auto"/>
              </w:divBdr>
              <w:divsChild>
                <w:div w:id="1162621236">
                  <w:marLeft w:val="0"/>
                  <w:marRight w:val="0"/>
                  <w:marTop w:val="0"/>
                  <w:marBottom w:val="0"/>
                  <w:divBdr>
                    <w:top w:val="none" w:sz="0" w:space="0" w:color="auto"/>
                    <w:left w:val="none" w:sz="0" w:space="0" w:color="auto"/>
                    <w:bottom w:val="none" w:sz="0" w:space="0" w:color="auto"/>
                    <w:right w:val="none" w:sz="0" w:space="0" w:color="auto"/>
                  </w:divBdr>
                  <w:divsChild>
                    <w:div w:id="2111050044">
                      <w:marLeft w:val="0"/>
                      <w:marRight w:val="0"/>
                      <w:marTop w:val="0"/>
                      <w:marBottom w:val="0"/>
                      <w:divBdr>
                        <w:top w:val="none" w:sz="0" w:space="0" w:color="auto"/>
                        <w:left w:val="none" w:sz="0" w:space="0" w:color="auto"/>
                        <w:bottom w:val="none" w:sz="0" w:space="0" w:color="auto"/>
                        <w:right w:val="none" w:sz="0" w:space="0" w:color="auto"/>
                      </w:divBdr>
                      <w:divsChild>
                        <w:div w:id="1318606063">
                          <w:marLeft w:val="0"/>
                          <w:marRight w:val="0"/>
                          <w:marTop w:val="0"/>
                          <w:marBottom w:val="0"/>
                          <w:divBdr>
                            <w:top w:val="none" w:sz="0" w:space="0" w:color="auto"/>
                            <w:left w:val="none" w:sz="0" w:space="0" w:color="auto"/>
                            <w:bottom w:val="none" w:sz="0" w:space="0" w:color="auto"/>
                            <w:right w:val="none" w:sz="0" w:space="0" w:color="auto"/>
                          </w:divBdr>
                          <w:divsChild>
                            <w:div w:id="168914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www.123rf.com/photo_13097502_3d-model-of-water-molecule.html%20Accessed%0916/10/13" TargetMode="Externa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18B732-D0F1-4BA1-B3DE-B5D1CC4804A1}"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AU"/>
        </a:p>
      </dgm:t>
    </dgm:pt>
    <dgm:pt modelId="{36ADAC4C-45DA-44A7-AA61-3FC6F655B019}">
      <dgm:prSet phldrT="[Text]"/>
      <dgm:spPr>
        <a:xfrm>
          <a:off x="2581993" y="1282"/>
          <a:ext cx="1142265" cy="74247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a:solidFill>
                <a:sysClr val="window" lastClr="FFFFFF"/>
              </a:solidFill>
              <a:latin typeface="Calibri"/>
              <a:ea typeface="+mn-ea"/>
              <a:cs typeface="+mn-cs"/>
            </a:rPr>
            <a:t>Concrete Experience</a:t>
          </a:r>
        </a:p>
      </dgm:t>
    </dgm:pt>
    <dgm:pt modelId="{E47FAFED-24DA-4F4F-9774-6ED15F61F89E}" type="parTrans" cxnId="{E333EEAC-F2C5-47F8-8FF1-18B7461F63EB}">
      <dgm:prSet/>
      <dgm:spPr/>
      <dgm:t>
        <a:bodyPr/>
        <a:lstStyle/>
        <a:p>
          <a:endParaRPr lang="en-AU"/>
        </a:p>
      </dgm:t>
    </dgm:pt>
    <dgm:pt modelId="{A216233B-5E50-40FF-91C5-7A256BEF0904}" type="sibTrans" cxnId="{E333EEAC-F2C5-47F8-8FF1-18B7461F63EB}">
      <dgm:prSet/>
      <dgm:spPr>
        <a:xfrm>
          <a:off x="2900180" y="445217"/>
          <a:ext cx="2455363" cy="2455363"/>
        </a:xfrm>
        <a:custGeom>
          <a:avLst/>
          <a:gdLst/>
          <a:ahLst/>
          <a:cxnLst/>
          <a:rect l="0" t="0" r="0" b="0"/>
          <a:pathLst>
            <a:path>
              <a:moveTo>
                <a:pt x="1157578" y="2003"/>
              </a:moveTo>
              <a:arcTo wR="1227681" hR="1227681" stAng="16003590" swAng="3369308"/>
            </a:path>
          </a:pathLst>
        </a:custGeom>
        <a:noFill/>
        <a:ln w="9525" cap="flat" cmpd="sng" algn="ctr">
          <a:solidFill>
            <a:srgbClr val="4F81BD">
              <a:hueOff val="0"/>
              <a:satOff val="0"/>
              <a:lumOff val="0"/>
              <a:alphaOff val="0"/>
            </a:srgbClr>
          </a:solidFill>
          <a:prstDash val="solid"/>
          <a:tailEnd type="arrow"/>
        </a:ln>
        <a:effectLst/>
      </dgm:spPr>
      <dgm:t>
        <a:bodyPr/>
        <a:lstStyle/>
        <a:p>
          <a:endParaRPr lang="en-AU"/>
        </a:p>
      </dgm:t>
    </dgm:pt>
    <dgm:pt modelId="{76F60F9B-EFCD-4CC7-AA03-69EFE16F61E9}">
      <dgm:prSet phldrT="[Text]"/>
      <dgm:spPr>
        <a:xfrm>
          <a:off x="4523347" y="1228963"/>
          <a:ext cx="1562778" cy="74247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a:solidFill>
                <a:sysClr val="window" lastClr="FFFFFF"/>
              </a:solidFill>
              <a:latin typeface="Calibri"/>
              <a:ea typeface="+mn-ea"/>
              <a:cs typeface="+mn-cs"/>
            </a:rPr>
            <a:t>Reflective Observation</a:t>
          </a:r>
        </a:p>
      </dgm:t>
    </dgm:pt>
    <dgm:pt modelId="{3FA98226-3104-4F42-847F-36CF9F9B836A}" type="parTrans" cxnId="{7D59273D-E616-454A-8819-5B6510EBB6AA}">
      <dgm:prSet/>
      <dgm:spPr/>
      <dgm:t>
        <a:bodyPr/>
        <a:lstStyle/>
        <a:p>
          <a:endParaRPr lang="en-AU"/>
        </a:p>
      </dgm:t>
    </dgm:pt>
    <dgm:pt modelId="{E17D8AE5-0CED-423F-B842-8D9D2C12A42B}" type="sibTrans" cxnId="{7D59273D-E616-454A-8819-5B6510EBB6AA}">
      <dgm:prSet/>
      <dgm:spPr>
        <a:xfrm>
          <a:off x="2929143" y="231364"/>
          <a:ext cx="2455363" cy="2455363"/>
        </a:xfrm>
        <a:custGeom>
          <a:avLst/>
          <a:gdLst/>
          <a:ahLst/>
          <a:cxnLst/>
          <a:rect l="0" t="0" r="0" b="0"/>
          <a:pathLst>
            <a:path>
              <a:moveTo>
                <a:pt x="2172809" y="2011222"/>
              </a:moveTo>
              <a:arcTo wR="1227681" hR="1227681" stAng="2379589" swAng="3103459"/>
            </a:path>
          </a:pathLst>
        </a:custGeom>
        <a:noFill/>
        <a:ln w="9525" cap="flat" cmpd="sng" algn="ctr">
          <a:solidFill>
            <a:srgbClr val="4F81BD">
              <a:hueOff val="0"/>
              <a:satOff val="0"/>
              <a:lumOff val="0"/>
              <a:alphaOff val="0"/>
            </a:srgbClr>
          </a:solidFill>
          <a:prstDash val="solid"/>
          <a:tailEnd type="arrow"/>
        </a:ln>
        <a:effectLst/>
      </dgm:spPr>
      <dgm:t>
        <a:bodyPr/>
        <a:lstStyle/>
        <a:p>
          <a:endParaRPr lang="en-AU"/>
        </a:p>
      </dgm:t>
    </dgm:pt>
    <dgm:pt modelId="{FF4E0862-B1A7-471C-B262-7CDDBA3C0A2C}">
      <dgm:prSet phldrT="[Text]"/>
      <dgm:spPr>
        <a:xfrm>
          <a:off x="2495552" y="2456645"/>
          <a:ext cx="1315146" cy="74247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a:solidFill>
                <a:sysClr val="window" lastClr="FFFFFF"/>
              </a:solidFill>
              <a:latin typeface="Calibri"/>
              <a:ea typeface="+mn-ea"/>
              <a:cs typeface="+mn-cs"/>
            </a:rPr>
            <a:t>Abstract Conceptualization</a:t>
          </a:r>
        </a:p>
      </dgm:t>
    </dgm:pt>
    <dgm:pt modelId="{DE511B37-3E11-4DD5-9C04-4601B4A3049D}" type="parTrans" cxnId="{1594A9BD-52B6-409E-9DEC-8E89B5FD36E9}">
      <dgm:prSet/>
      <dgm:spPr/>
      <dgm:t>
        <a:bodyPr/>
        <a:lstStyle/>
        <a:p>
          <a:endParaRPr lang="en-AU"/>
        </a:p>
      </dgm:t>
    </dgm:pt>
    <dgm:pt modelId="{DB5BBB70-4A9F-4475-B114-0A88780FFA41}" type="sibTrans" cxnId="{1594A9BD-52B6-409E-9DEC-8E89B5FD36E9}">
      <dgm:prSet/>
      <dgm:spPr>
        <a:xfrm>
          <a:off x="924100" y="230674"/>
          <a:ext cx="2455363" cy="2455363"/>
        </a:xfrm>
        <a:custGeom>
          <a:avLst/>
          <a:gdLst/>
          <a:ahLst/>
          <a:cxnLst/>
          <a:rect l="0" t="0" r="0" b="0"/>
          <a:pathLst>
            <a:path>
              <a:moveTo>
                <a:pt x="1253789" y="2455085"/>
              </a:moveTo>
              <a:arcTo wR="1227681" hR="1227681" stAng="5326889" swAng="3117617"/>
            </a:path>
          </a:pathLst>
        </a:custGeom>
        <a:noFill/>
        <a:ln w="9525" cap="flat" cmpd="sng" algn="ctr">
          <a:solidFill>
            <a:srgbClr val="4F81BD">
              <a:hueOff val="0"/>
              <a:satOff val="0"/>
              <a:lumOff val="0"/>
              <a:alphaOff val="0"/>
            </a:srgbClr>
          </a:solidFill>
          <a:prstDash val="solid"/>
          <a:tailEnd type="arrow"/>
        </a:ln>
        <a:effectLst/>
      </dgm:spPr>
      <dgm:t>
        <a:bodyPr/>
        <a:lstStyle/>
        <a:p>
          <a:endParaRPr lang="en-AU"/>
        </a:p>
      </dgm:t>
    </dgm:pt>
    <dgm:pt modelId="{494728ED-C2C5-432E-9D81-32BC52B4BAA3}">
      <dgm:prSet phldrT="[Text]" custT="1"/>
      <dgm:spPr>
        <a:xfrm>
          <a:off x="219432" y="1219444"/>
          <a:ext cx="1564183" cy="74247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000">
              <a:solidFill>
                <a:sysClr val="window" lastClr="FFFFFF"/>
              </a:solidFill>
              <a:latin typeface="Verdana" panose="020B0604030504040204" pitchFamily="34" charset="0"/>
              <a:ea typeface="Verdana" panose="020B0604030504040204" pitchFamily="34" charset="0"/>
              <a:cs typeface="Verdana" panose="020B0604030504040204" pitchFamily="34" charset="0"/>
            </a:rPr>
            <a:t>Active Experimentation</a:t>
          </a:r>
        </a:p>
      </dgm:t>
    </dgm:pt>
    <dgm:pt modelId="{C71587E6-D9DA-4F3C-8E95-62446AD1EA77}" type="parTrans" cxnId="{59D30123-029C-4474-9B9A-03189CF66EDB}">
      <dgm:prSet/>
      <dgm:spPr/>
      <dgm:t>
        <a:bodyPr/>
        <a:lstStyle/>
        <a:p>
          <a:endParaRPr lang="en-AU"/>
        </a:p>
      </dgm:t>
    </dgm:pt>
    <dgm:pt modelId="{65F542C4-C86E-42FE-B67D-C6381F1A4278}" type="sibTrans" cxnId="{59D30123-029C-4474-9B9A-03189CF66EDB}">
      <dgm:prSet/>
      <dgm:spPr>
        <a:xfrm>
          <a:off x="948898" y="444586"/>
          <a:ext cx="2455363" cy="2455363"/>
        </a:xfrm>
        <a:custGeom>
          <a:avLst/>
          <a:gdLst/>
          <a:ahLst/>
          <a:cxnLst/>
          <a:rect l="0" t="0" r="0" b="0"/>
          <a:pathLst>
            <a:path>
              <a:moveTo>
                <a:pt x="253861" y="480101"/>
              </a:moveTo>
              <a:arcTo wR="1227681" hR="1227681" stAng="13050758" swAng="3354098"/>
            </a:path>
          </a:pathLst>
        </a:custGeom>
        <a:noFill/>
        <a:ln w="9525" cap="flat" cmpd="sng" algn="ctr">
          <a:solidFill>
            <a:srgbClr val="4F81BD">
              <a:hueOff val="0"/>
              <a:satOff val="0"/>
              <a:lumOff val="0"/>
              <a:alphaOff val="0"/>
            </a:srgbClr>
          </a:solidFill>
          <a:prstDash val="solid"/>
          <a:tailEnd type="arrow"/>
        </a:ln>
        <a:effectLst/>
      </dgm:spPr>
      <dgm:t>
        <a:bodyPr/>
        <a:lstStyle/>
        <a:p>
          <a:endParaRPr lang="en-AU"/>
        </a:p>
      </dgm:t>
    </dgm:pt>
    <dgm:pt modelId="{F8E625EF-7EF2-456E-A395-C54F82853309}" type="pres">
      <dgm:prSet presAssocID="{2218B732-D0F1-4BA1-B3DE-B5D1CC4804A1}" presName="cycle" presStyleCnt="0">
        <dgm:presLayoutVars>
          <dgm:dir/>
          <dgm:resizeHandles val="exact"/>
        </dgm:presLayoutVars>
      </dgm:prSet>
      <dgm:spPr/>
      <dgm:t>
        <a:bodyPr/>
        <a:lstStyle/>
        <a:p>
          <a:endParaRPr lang="en-AU"/>
        </a:p>
      </dgm:t>
    </dgm:pt>
    <dgm:pt modelId="{7CFDE685-DC40-4F11-976C-CBB8FD5AAC95}" type="pres">
      <dgm:prSet presAssocID="{36ADAC4C-45DA-44A7-AA61-3FC6F655B019}" presName="node" presStyleLbl="node1" presStyleIdx="0" presStyleCnt="4">
        <dgm:presLayoutVars>
          <dgm:bulletEnabled val="1"/>
        </dgm:presLayoutVars>
      </dgm:prSet>
      <dgm:spPr/>
      <dgm:t>
        <a:bodyPr/>
        <a:lstStyle/>
        <a:p>
          <a:endParaRPr lang="en-AU"/>
        </a:p>
      </dgm:t>
    </dgm:pt>
    <dgm:pt modelId="{562F98B2-1EE5-4647-89AE-D69BFCC21535}" type="pres">
      <dgm:prSet presAssocID="{36ADAC4C-45DA-44A7-AA61-3FC6F655B019}" presName="spNode" presStyleCnt="0"/>
      <dgm:spPr/>
    </dgm:pt>
    <dgm:pt modelId="{809F8C73-2297-4AF6-B78E-DB4D581CC067}" type="pres">
      <dgm:prSet presAssocID="{A216233B-5E50-40FF-91C5-7A256BEF0904}" presName="sibTrans" presStyleLbl="sibTrans1D1" presStyleIdx="0" presStyleCnt="4"/>
      <dgm:spPr/>
      <dgm:t>
        <a:bodyPr/>
        <a:lstStyle/>
        <a:p>
          <a:endParaRPr lang="en-AU"/>
        </a:p>
      </dgm:t>
    </dgm:pt>
    <dgm:pt modelId="{A776F4D3-5FF0-4DF1-9F26-484A1D15ABC6}" type="pres">
      <dgm:prSet presAssocID="{76F60F9B-EFCD-4CC7-AA03-69EFE16F61E9}" presName="node" presStyleLbl="node1" presStyleIdx="1" presStyleCnt="4" custScaleX="136814" custRadScaleRad="175258">
        <dgm:presLayoutVars>
          <dgm:bulletEnabled val="1"/>
        </dgm:presLayoutVars>
      </dgm:prSet>
      <dgm:spPr/>
      <dgm:t>
        <a:bodyPr/>
        <a:lstStyle/>
        <a:p>
          <a:endParaRPr lang="en-AU"/>
        </a:p>
      </dgm:t>
    </dgm:pt>
    <dgm:pt modelId="{1B0212C8-787D-44D8-926D-DD0664B80E11}" type="pres">
      <dgm:prSet presAssocID="{76F60F9B-EFCD-4CC7-AA03-69EFE16F61E9}" presName="spNode" presStyleCnt="0"/>
      <dgm:spPr/>
    </dgm:pt>
    <dgm:pt modelId="{F0204371-E736-42B5-A1C0-44B5639DE8FA}" type="pres">
      <dgm:prSet presAssocID="{E17D8AE5-0CED-423F-B842-8D9D2C12A42B}" presName="sibTrans" presStyleLbl="sibTrans1D1" presStyleIdx="1" presStyleCnt="4"/>
      <dgm:spPr/>
      <dgm:t>
        <a:bodyPr/>
        <a:lstStyle/>
        <a:p>
          <a:endParaRPr lang="en-AU"/>
        </a:p>
      </dgm:t>
    </dgm:pt>
    <dgm:pt modelId="{C0B59DD2-4A09-40EB-BD42-23B8D3210121}" type="pres">
      <dgm:prSet presAssocID="{FF4E0862-B1A7-471C-B262-7CDDBA3C0A2C}" presName="node" presStyleLbl="node1" presStyleIdx="2" presStyleCnt="4" custScaleX="115135">
        <dgm:presLayoutVars>
          <dgm:bulletEnabled val="1"/>
        </dgm:presLayoutVars>
      </dgm:prSet>
      <dgm:spPr/>
      <dgm:t>
        <a:bodyPr/>
        <a:lstStyle/>
        <a:p>
          <a:endParaRPr lang="en-AU"/>
        </a:p>
      </dgm:t>
    </dgm:pt>
    <dgm:pt modelId="{E26B745E-AD7A-438F-B921-D39433314D05}" type="pres">
      <dgm:prSet presAssocID="{FF4E0862-B1A7-471C-B262-7CDDBA3C0A2C}" presName="spNode" presStyleCnt="0"/>
      <dgm:spPr/>
    </dgm:pt>
    <dgm:pt modelId="{D98F2B75-4EE6-4D5E-B6DB-2B509EC2EA62}" type="pres">
      <dgm:prSet presAssocID="{DB5BBB70-4A9F-4475-B114-0A88780FFA41}" presName="sibTrans" presStyleLbl="sibTrans1D1" presStyleIdx="2" presStyleCnt="4"/>
      <dgm:spPr/>
      <dgm:t>
        <a:bodyPr/>
        <a:lstStyle/>
        <a:p>
          <a:endParaRPr lang="en-AU"/>
        </a:p>
      </dgm:t>
    </dgm:pt>
    <dgm:pt modelId="{62AD9392-5FF7-4692-927D-F76535087498}" type="pres">
      <dgm:prSet presAssocID="{494728ED-C2C5-432E-9D81-32BC52B4BAA3}" presName="node" presStyleLbl="node1" presStyleIdx="3" presStyleCnt="4" custScaleX="136937" custRadScaleRad="175259" custRadScaleInc="845">
        <dgm:presLayoutVars>
          <dgm:bulletEnabled val="1"/>
        </dgm:presLayoutVars>
      </dgm:prSet>
      <dgm:spPr/>
      <dgm:t>
        <a:bodyPr/>
        <a:lstStyle/>
        <a:p>
          <a:endParaRPr lang="en-AU"/>
        </a:p>
      </dgm:t>
    </dgm:pt>
    <dgm:pt modelId="{B82FF256-1D83-4189-89EA-3301E65C01C2}" type="pres">
      <dgm:prSet presAssocID="{494728ED-C2C5-432E-9D81-32BC52B4BAA3}" presName="spNode" presStyleCnt="0"/>
      <dgm:spPr/>
    </dgm:pt>
    <dgm:pt modelId="{B86BBED6-22F1-4DC5-ABB3-586F6195041C}" type="pres">
      <dgm:prSet presAssocID="{65F542C4-C86E-42FE-B67D-C6381F1A4278}" presName="sibTrans" presStyleLbl="sibTrans1D1" presStyleIdx="3" presStyleCnt="4"/>
      <dgm:spPr/>
      <dgm:t>
        <a:bodyPr/>
        <a:lstStyle/>
        <a:p>
          <a:endParaRPr lang="en-AU"/>
        </a:p>
      </dgm:t>
    </dgm:pt>
  </dgm:ptLst>
  <dgm:cxnLst>
    <dgm:cxn modelId="{7D59273D-E616-454A-8819-5B6510EBB6AA}" srcId="{2218B732-D0F1-4BA1-B3DE-B5D1CC4804A1}" destId="{76F60F9B-EFCD-4CC7-AA03-69EFE16F61E9}" srcOrd="1" destOrd="0" parTransId="{3FA98226-3104-4F42-847F-36CF9F9B836A}" sibTransId="{E17D8AE5-0CED-423F-B842-8D9D2C12A42B}"/>
    <dgm:cxn modelId="{1594A9BD-52B6-409E-9DEC-8E89B5FD36E9}" srcId="{2218B732-D0F1-4BA1-B3DE-B5D1CC4804A1}" destId="{FF4E0862-B1A7-471C-B262-7CDDBA3C0A2C}" srcOrd="2" destOrd="0" parTransId="{DE511B37-3E11-4DD5-9C04-4601B4A3049D}" sibTransId="{DB5BBB70-4A9F-4475-B114-0A88780FFA41}"/>
    <dgm:cxn modelId="{D2A641A6-0059-452E-9DC9-4856CE6C3D16}" type="presOf" srcId="{65F542C4-C86E-42FE-B67D-C6381F1A4278}" destId="{B86BBED6-22F1-4DC5-ABB3-586F6195041C}" srcOrd="0" destOrd="0" presId="urn:microsoft.com/office/officeart/2005/8/layout/cycle5"/>
    <dgm:cxn modelId="{CA8849E9-2E99-44AB-BBA1-73A14249E787}" type="presOf" srcId="{DB5BBB70-4A9F-4475-B114-0A88780FFA41}" destId="{D98F2B75-4EE6-4D5E-B6DB-2B509EC2EA62}" srcOrd="0" destOrd="0" presId="urn:microsoft.com/office/officeart/2005/8/layout/cycle5"/>
    <dgm:cxn modelId="{D70F48D2-E507-4C95-8802-8BE8AFC8AE63}" type="presOf" srcId="{2218B732-D0F1-4BA1-B3DE-B5D1CC4804A1}" destId="{F8E625EF-7EF2-456E-A395-C54F82853309}" srcOrd="0" destOrd="0" presId="urn:microsoft.com/office/officeart/2005/8/layout/cycle5"/>
    <dgm:cxn modelId="{3678A8E4-218E-4E35-B239-3D47E97D8898}" type="presOf" srcId="{494728ED-C2C5-432E-9D81-32BC52B4BAA3}" destId="{62AD9392-5FF7-4692-927D-F76535087498}" srcOrd="0" destOrd="0" presId="urn:microsoft.com/office/officeart/2005/8/layout/cycle5"/>
    <dgm:cxn modelId="{E333EEAC-F2C5-47F8-8FF1-18B7461F63EB}" srcId="{2218B732-D0F1-4BA1-B3DE-B5D1CC4804A1}" destId="{36ADAC4C-45DA-44A7-AA61-3FC6F655B019}" srcOrd="0" destOrd="0" parTransId="{E47FAFED-24DA-4F4F-9774-6ED15F61F89E}" sibTransId="{A216233B-5E50-40FF-91C5-7A256BEF0904}"/>
    <dgm:cxn modelId="{13FADE88-79FD-41AB-8798-BB6BB7CDFEBA}" type="presOf" srcId="{36ADAC4C-45DA-44A7-AA61-3FC6F655B019}" destId="{7CFDE685-DC40-4F11-976C-CBB8FD5AAC95}" srcOrd="0" destOrd="0" presId="urn:microsoft.com/office/officeart/2005/8/layout/cycle5"/>
    <dgm:cxn modelId="{1244EBE5-1CBC-449F-806E-6FDD12F897C2}" type="presOf" srcId="{76F60F9B-EFCD-4CC7-AA03-69EFE16F61E9}" destId="{A776F4D3-5FF0-4DF1-9F26-484A1D15ABC6}" srcOrd="0" destOrd="0" presId="urn:microsoft.com/office/officeart/2005/8/layout/cycle5"/>
    <dgm:cxn modelId="{59D30123-029C-4474-9B9A-03189CF66EDB}" srcId="{2218B732-D0F1-4BA1-B3DE-B5D1CC4804A1}" destId="{494728ED-C2C5-432E-9D81-32BC52B4BAA3}" srcOrd="3" destOrd="0" parTransId="{C71587E6-D9DA-4F3C-8E95-62446AD1EA77}" sibTransId="{65F542C4-C86E-42FE-B67D-C6381F1A4278}"/>
    <dgm:cxn modelId="{FB94B000-4B19-4DAB-8B0F-57BE7F2B2799}" type="presOf" srcId="{FF4E0862-B1A7-471C-B262-7CDDBA3C0A2C}" destId="{C0B59DD2-4A09-40EB-BD42-23B8D3210121}" srcOrd="0" destOrd="0" presId="urn:microsoft.com/office/officeart/2005/8/layout/cycle5"/>
    <dgm:cxn modelId="{369562F2-80E7-47FF-952F-CC27E5A16F78}" type="presOf" srcId="{A216233B-5E50-40FF-91C5-7A256BEF0904}" destId="{809F8C73-2297-4AF6-B78E-DB4D581CC067}" srcOrd="0" destOrd="0" presId="urn:microsoft.com/office/officeart/2005/8/layout/cycle5"/>
    <dgm:cxn modelId="{E6D2EFA8-B04E-44DE-B2A2-51C49A3FD54F}" type="presOf" srcId="{E17D8AE5-0CED-423F-B842-8D9D2C12A42B}" destId="{F0204371-E736-42B5-A1C0-44B5639DE8FA}" srcOrd="0" destOrd="0" presId="urn:microsoft.com/office/officeart/2005/8/layout/cycle5"/>
    <dgm:cxn modelId="{0002F2FC-5C74-47EA-B7C5-B73749C9DA11}" type="presParOf" srcId="{F8E625EF-7EF2-456E-A395-C54F82853309}" destId="{7CFDE685-DC40-4F11-976C-CBB8FD5AAC95}" srcOrd="0" destOrd="0" presId="urn:microsoft.com/office/officeart/2005/8/layout/cycle5"/>
    <dgm:cxn modelId="{6ED52A51-CD2B-4226-A832-CE9337337ADA}" type="presParOf" srcId="{F8E625EF-7EF2-456E-A395-C54F82853309}" destId="{562F98B2-1EE5-4647-89AE-D69BFCC21535}" srcOrd="1" destOrd="0" presId="urn:microsoft.com/office/officeart/2005/8/layout/cycle5"/>
    <dgm:cxn modelId="{8422CD7A-7344-48D2-B7E2-2EC7DE3F98B4}" type="presParOf" srcId="{F8E625EF-7EF2-456E-A395-C54F82853309}" destId="{809F8C73-2297-4AF6-B78E-DB4D581CC067}" srcOrd="2" destOrd="0" presId="urn:microsoft.com/office/officeart/2005/8/layout/cycle5"/>
    <dgm:cxn modelId="{C7459CC2-C9BF-487D-97B2-BE8D8BC4F34C}" type="presParOf" srcId="{F8E625EF-7EF2-456E-A395-C54F82853309}" destId="{A776F4D3-5FF0-4DF1-9F26-484A1D15ABC6}" srcOrd="3" destOrd="0" presId="urn:microsoft.com/office/officeart/2005/8/layout/cycle5"/>
    <dgm:cxn modelId="{6B06CCDE-77A2-4419-A2A2-255B5FE90DA4}" type="presParOf" srcId="{F8E625EF-7EF2-456E-A395-C54F82853309}" destId="{1B0212C8-787D-44D8-926D-DD0664B80E11}" srcOrd="4" destOrd="0" presId="urn:microsoft.com/office/officeart/2005/8/layout/cycle5"/>
    <dgm:cxn modelId="{561D8DA7-927C-426A-9755-1C29F4204A27}" type="presParOf" srcId="{F8E625EF-7EF2-456E-A395-C54F82853309}" destId="{F0204371-E736-42B5-A1C0-44B5639DE8FA}" srcOrd="5" destOrd="0" presId="urn:microsoft.com/office/officeart/2005/8/layout/cycle5"/>
    <dgm:cxn modelId="{ED6FEC66-3632-4D86-ADE1-9E0EF9DF313B}" type="presParOf" srcId="{F8E625EF-7EF2-456E-A395-C54F82853309}" destId="{C0B59DD2-4A09-40EB-BD42-23B8D3210121}" srcOrd="6" destOrd="0" presId="urn:microsoft.com/office/officeart/2005/8/layout/cycle5"/>
    <dgm:cxn modelId="{F238DAF9-94AC-4597-B1B1-7CD3E41429E4}" type="presParOf" srcId="{F8E625EF-7EF2-456E-A395-C54F82853309}" destId="{E26B745E-AD7A-438F-B921-D39433314D05}" srcOrd="7" destOrd="0" presId="urn:microsoft.com/office/officeart/2005/8/layout/cycle5"/>
    <dgm:cxn modelId="{2A236B8F-CFEC-4CB7-A916-C006D24FAF80}" type="presParOf" srcId="{F8E625EF-7EF2-456E-A395-C54F82853309}" destId="{D98F2B75-4EE6-4D5E-B6DB-2B509EC2EA62}" srcOrd="8" destOrd="0" presId="urn:microsoft.com/office/officeart/2005/8/layout/cycle5"/>
    <dgm:cxn modelId="{38324C3C-6BCC-4133-9271-B881710AB446}" type="presParOf" srcId="{F8E625EF-7EF2-456E-A395-C54F82853309}" destId="{62AD9392-5FF7-4692-927D-F76535087498}" srcOrd="9" destOrd="0" presId="urn:microsoft.com/office/officeart/2005/8/layout/cycle5"/>
    <dgm:cxn modelId="{46B0F044-54C6-47FD-A4BE-D381D18D013C}" type="presParOf" srcId="{F8E625EF-7EF2-456E-A395-C54F82853309}" destId="{B82FF256-1D83-4189-89EA-3301E65C01C2}" srcOrd="10" destOrd="0" presId="urn:microsoft.com/office/officeart/2005/8/layout/cycle5"/>
    <dgm:cxn modelId="{85348443-F532-4B71-A326-D16460BDF075}" type="presParOf" srcId="{F8E625EF-7EF2-456E-A395-C54F82853309}" destId="{B86BBED6-22F1-4DC5-ABB3-586F6195041C}" srcOrd="11" destOrd="0" presId="urn:microsoft.com/office/officeart/2005/8/layout/cycle5"/>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FDE685-DC40-4F11-976C-CBB8FD5AAC95}">
      <dsp:nvSpPr>
        <dsp:cNvPr id="0" name=""/>
        <dsp:cNvSpPr/>
      </dsp:nvSpPr>
      <dsp:spPr>
        <a:xfrm>
          <a:off x="2581993" y="1282"/>
          <a:ext cx="1142265" cy="74247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kern="1200">
              <a:solidFill>
                <a:sysClr val="window" lastClr="FFFFFF"/>
              </a:solidFill>
              <a:latin typeface="Calibri"/>
              <a:ea typeface="+mn-ea"/>
              <a:cs typeface="+mn-cs"/>
            </a:rPr>
            <a:t>Concrete Experience</a:t>
          </a:r>
        </a:p>
      </dsp:txBody>
      <dsp:txXfrm>
        <a:off x="2618237" y="37526"/>
        <a:ext cx="1069777" cy="669984"/>
      </dsp:txXfrm>
    </dsp:sp>
    <dsp:sp modelId="{809F8C73-2297-4AF6-B78E-DB4D581CC067}">
      <dsp:nvSpPr>
        <dsp:cNvPr id="0" name=""/>
        <dsp:cNvSpPr/>
      </dsp:nvSpPr>
      <dsp:spPr>
        <a:xfrm>
          <a:off x="2900180" y="445217"/>
          <a:ext cx="2455363" cy="2455363"/>
        </a:xfrm>
        <a:custGeom>
          <a:avLst/>
          <a:gdLst/>
          <a:ahLst/>
          <a:cxnLst/>
          <a:rect l="0" t="0" r="0" b="0"/>
          <a:pathLst>
            <a:path>
              <a:moveTo>
                <a:pt x="1157578" y="2003"/>
              </a:moveTo>
              <a:arcTo wR="1227681" hR="1227681" stAng="16003590" swAng="3369308"/>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sp>
    <dsp:sp modelId="{A776F4D3-5FF0-4DF1-9F26-484A1D15ABC6}">
      <dsp:nvSpPr>
        <dsp:cNvPr id="0" name=""/>
        <dsp:cNvSpPr/>
      </dsp:nvSpPr>
      <dsp:spPr>
        <a:xfrm>
          <a:off x="4523347" y="1228963"/>
          <a:ext cx="1562778" cy="74247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kern="1200">
              <a:solidFill>
                <a:sysClr val="window" lastClr="FFFFFF"/>
              </a:solidFill>
              <a:latin typeface="Calibri"/>
              <a:ea typeface="+mn-ea"/>
              <a:cs typeface="+mn-cs"/>
            </a:rPr>
            <a:t>Reflective Observation</a:t>
          </a:r>
        </a:p>
      </dsp:txBody>
      <dsp:txXfrm>
        <a:off x="4559591" y="1265207"/>
        <a:ext cx="1490290" cy="669984"/>
      </dsp:txXfrm>
    </dsp:sp>
    <dsp:sp modelId="{F0204371-E736-42B5-A1C0-44B5639DE8FA}">
      <dsp:nvSpPr>
        <dsp:cNvPr id="0" name=""/>
        <dsp:cNvSpPr/>
      </dsp:nvSpPr>
      <dsp:spPr>
        <a:xfrm>
          <a:off x="2929143" y="231364"/>
          <a:ext cx="2455363" cy="2455363"/>
        </a:xfrm>
        <a:custGeom>
          <a:avLst/>
          <a:gdLst/>
          <a:ahLst/>
          <a:cxnLst/>
          <a:rect l="0" t="0" r="0" b="0"/>
          <a:pathLst>
            <a:path>
              <a:moveTo>
                <a:pt x="2172809" y="2011222"/>
              </a:moveTo>
              <a:arcTo wR="1227681" hR="1227681" stAng="2379589" swAng="3103459"/>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sp>
    <dsp:sp modelId="{C0B59DD2-4A09-40EB-BD42-23B8D3210121}">
      <dsp:nvSpPr>
        <dsp:cNvPr id="0" name=""/>
        <dsp:cNvSpPr/>
      </dsp:nvSpPr>
      <dsp:spPr>
        <a:xfrm>
          <a:off x="2495552" y="2456645"/>
          <a:ext cx="1315146" cy="74247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kern="1200">
              <a:solidFill>
                <a:sysClr val="window" lastClr="FFFFFF"/>
              </a:solidFill>
              <a:latin typeface="Calibri"/>
              <a:ea typeface="+mn-ea"/>
              <a:cs typeface="+mn-cs"/>
            </a:rPr>
            <a:t>Abstract Conceptualization</a:t>
          </a:r>
        </a:p>
      </dsp:txBody>
      <dsp:txXfrm>
        <a:off x="2531796" y="2492889"/>
        <a:ext cx="1242658" cy="669984"/>
      </dsp:txXfrm>
    </dsp:sp>
    <dsp:sp modelId="{D98F2B75-4EE6-4D5E-B6DB-2B509EC2EA62}">
      <dsp:nvSpPr>
        <dsp:cNvPr id="0" name=""/>
        <dsp:cNvSpPr/>
      </dsp:nvSpPr>
      <dsp:spPr>
        <a:xfrm>
          <a:off x="924100" y="230674"/>
          <a:ext cx="2455363" cy="2455363"/>
        </a:xfrm>
        <a:custGeom>
          <a:avLst/>
          <a:gdLst/>
          <a:ahLst/>
          <a:cxnLst/>
          <a:rect l="0" t="0" r="0" b="0"/>
          <a:pathLst>
            <a:path>
              <a:moveTo>
                <a:pt x="1253789" y="2455085"/>
              </a:moveTo>
              <a:arcTo wR="1227681" hR="1227681" stAng="5326889" swAng="3117617"/>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sp>
    <dsp:sp modelId="{62AD9392-5FF7-4692-927D-F76535087498}">
      <dsp:nvSpPr>
        <dsp:cNvPr id="0" name=""/>
        <dsp:cNvSpPr/>
      </dsp:nvSpPr>
      <dsp:spPr>
        <a:xfrm>
          <a:off x="219432" y="1219444"/>
          <a:ext cx="1564183" cy="74247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solidFill>
                <a:sysClr val="window" lastClr="FFFFFF"/>
              </a:solidFill>
              <a:latin typeface="Verdana" panose="020B0604030504040204" pitchFamily="34" charset="0"/>
              <a:ea typeface="Verdana" panose="020B0604030504040204" pitchFamily="34" charset="0"/>
              <a:cs typeface="Verdana" panose="020B0604030504040204" pitchFamily="34" charset="0"/>
            </a:rPr>
            <a:t>Active Experimentation</a:t>
          </a:r>
        </a:p>
      </dsp:txBody>
      <dsp:txXfrm>
        <a:off x="255676" y="1255688"/>
        <a:ext cx="1491695" cy="669984"/>
      </dsp:txXfrm>
    </dsp:sp>
    <dsp:sp modelId="{B86BBED6-22F1-4DC5-ABB3-586F6195041C}">
      <dsp:nvSpPr>
        <dsp:cNvPr id="0" name=""/>
        <dsp:cNvSpPr/>
      </dsp:nvSpPr>
      <dsp:spPr>
        <a:xfrm>
          <a:off x="948898" y="444586"/>
          <a:ext cx="2455363" cy="2455363"/>
        </a:xfrm>
        <a:custGeom>
          <a:avLst/>
          <a:gdLst/>
          <a:ahLst/>
          <a:cxnLst/>
          <a:rect l="0" t="0" r="0" b="0"/>
          <a:pathLst>
            <a:path>
              <a:moveTo>
                <a:pt x="253861" y="480101"/>
              </a:moveTo>
              <a:arcTo wR="1227681" hR="1227681" stAng="13050758" swAng="3354098"/>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3543</TotalTime>
  <Pages>14</Pages>
  <Words>4438</Words>
  <Characters>25299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Scotty</dc:creator>
  <cp:lastModifiedBy>Scott James Bull</cp:lastModifiedBy>
  <cp:revision>15</cp:revision>
  <dcterms:created xsi:type="dcterms:W3CDTF">2013-10-16T13:20:00Z</dcterms:created>
  <dcterms:modified xsi:type="dcterms:W3CDTF">2013-10-21T04:23:00Z</dcterms:modified>
</cp:coreProperties>
</file>